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928F" w14:textId="77777777" w:rsidR="00C744C4" w:rsidRPr="002338DB" w:rsidRDefault="00C744C4" w:rsidP="00C744C4">
      <w:pPr>
        <w:tabs>
          <w:tab w:val="right" w:pos="9354"/>
        </w:tabs>
        <w:spacing w:before="0" w:after="0"/>
        <w:ind w:left="426" w:firstLine="0"/>
        <w:rPr>
          <w:rFonts w:ascii="Times New Roman" w:hAnsi="Times New Roman"/>
          <w:b/>
          <w:sz w:val="24"/>
          <w:szCs w:val="24"/>
          <w:lang w:val="en-US"/>
        </w:rPr>
      </w:pPr>
    </w:p>
    <w:p w14:paraId="03D0B3D2" w14:textId="77777777" w:rsidR="00C744C4" w:rsidRPr="002338DB" w:rsidRDefault="00C744C4" w:rsidP="00C744C4">
      <w:pPr>
        <w:tabs>
          <w:tab w:val="right" w:pos="9354"/>
        </w:tabs>
        <w:spacing w:before="0" w:after="0"/>
        <w:ind w:left="426" w:firstLine="0"/>
        <w:rPr>
          <w:rFonts w:ascii="Times New Roman" w:hAnsi="Times New Roman"/>
          <w:b/>
          <w:sz w:val="24"/>
          <w:szCs w:val="24"/>
          <w:lang w:val="en-US"/>
        </w:rPr>
      </w:pPr>
    </w:p>
    <w:p w14:paraId="7CABFFD5" w14:textId="643065C2" w:rsidR="00C744C4" w:rsidRPr="002338DB" w:rsidRDefault="004262D5" w:rsidP="00C744C4">
      <w:pPr>
        <w:tabs>
          <w:tab w:val="right" w:pos="9354"/>
        </w:tabs>
        <w:spacing w:before="0" w:after="0"/>
        <w:ind w:left="426" w:firstLine="0"/>
        <w:rPr>
          <w:rFonts w:ascii="Times New Roman" w:hAnsi="Times New Roman"/>
          <w:sz w:val="24"/>
          <w:szCs w:val="24"/>
          <w:lang w:val="en-US"/>
        </w:rPr>
      </w:pPr>
      <w:r w:rsidRPr="002338DB">
        <w:rPr>
          <w:rFonts w:ascii="Times New Roman" w:hAnsi="Times New Roman"/>
          <w:sz w:val="24"/>
          <w:szCs w:val="24"/>
          <w:lang w:val="en-US"/>
        </w:rPr>
        <w:t xml:space="preserve">In Prague </w:t>
      </w:r>
      <w:r w:rsidR="00347B89">
        <w:rPr>
          <w:rFonts w:ascii="Times New Roman" w:hAnsi="Times New Roman"/>
          <w:sz w:val="24"/>
          <w:szCs w:val="24"/>
          <w:lang w:val="en-US"/>
        </w:rPr>
        <w:t>6/27</w:t>
      </w:r>
      <w:r w:rsidR="00C744C4" w:rsidRPr="002338DB">
        <w:rPr>
          <w:rFonts w:ascii="Times New Roman" w:hAnsi="Times New Roman"/>
          <w:sz w:val="24"/>
          <w:szCs w:val="24"/>
          <w:lang w:val="en-US"/>
        </w:rPr>
        <w:t>/201</w:t>
      </w:r>
      <w:r w:rsidR="002935CC" w:rsidRPr="002338DB">
        <w:rPr>
          <w:rFonts w:ascii="Times New Roman" w:hAnsi="Times New Roman"/>
          <w:sz w:val="24"/>
          <w:szCs w:val="24"/>
          <w:lang w:val="en-US"/>
        </w:rPr>
        <w:t>7</w:t>
      </w:r>
    </w:p>
    <w:p w14:paraId="6D8279AC" w14:textId="77777777" w:rsidR="00C744C4" w:rsidRPr="002338DB" w:rsidRDefault="00C744C4" w:rsidP="00C744C4">
      <w:pPr>
        <w:spacing w:before="0" w:after="0"/>
        <w:ind w:left="426" w:firstLine="0"/>
        <w:jc w:val="both"/>
        <w:rPr>
          <w:rFonts w:ascii="Times New Roman" w:hAnsi="Times New Roman"/>
          <w:sz w:val="24"/>
          <w:szCs w:val="24"/>
          <w:lang w:val="en-US"/>
        </w:rPr>
      </w:pPr>
    </w:p>
    <w:p w14:paraId="4182BFE2" w14:textId="57136786" w:rsidR="00C744C4" w:rsidRPr="002338DB" w:rsidRDefault="00347B89" w:rsidP="004262D5">
      <w:pPr>
        <w:pBdr>
          <w:bottom w:val="single" w:sz="4" w:space="1" w:color="auto"/>
        </w:pBdr>
        <w:spacing w:before="0" w:after="0"/>
        <w:ind w:left="426" w:firstLine="0"/>
        <w:jc w:val="center"/>
        <w:rPr>
          <w:rFonts w:ascii="Times New Roman" w:hAnsi="Times New Roman"/>
          <w:b/>
          <w:sz w:val="24"/>
          <w:szCs w:val="24"/>
          <w:lang w:val="en-US"/>
        </w:rPr>
      </w:pPr>
      <w:r>
        <w:rPr>
          <w:rFonts w:ascii="Times New Roman" w:hAnsi="Times New Roman"/>
          <w:b/>
          <w:sz w:val="24"/>
          <w:szCs w:val="24"/>
          <w:lang w:val="en-US"/>
        </w:rPr>
        <w:t>Final Review</w:t>
      </w:r>
      <w:r w:rsidR="000A08FA">
        <w:rPr>
          <w:rFonts w:ascii="Times New Roman" w:hAnsi="Times New Roman"/>
          <w:b/>
          <w:sz w:val="24"/>
          <w:szCs w:val="24"/>
          <w:lang w:val="en-US"/>
        </w:rPr>
        <w:t xml:space="preserve"> - Accomplishments</w:t>
      </w:r>
    </w:p>
    <w:p w14:paraId="50081971" w14:textId="77777777" w:rsidR="00C744C4" w:rsidRPr="002338DB" w:rsidRDefault="00C744C4" w:rsidP="00C744C4">
      <w:pPr>
        <w:pBdr>
          <w:bottom w:val="single" w:sz="4" w:space="1" w:color="auto"/>
        </w:pBdr>
        <w:spacing w:before="0" w:after="0"/>
        <w:ind w:left="426" w:firstLine="0"/>
        <w:jc w:val="both"/>
        <w:rPr>
          <w:rFonts w:ascii="Times New Roman" w:hAnsi="Times New Roman"/>
          <w:b/>
          <w:sz w:val="24"/>
          <w:szCs w:val="24"/>
          <w:lang w:val="en-US"/>
        </w:rPr>
      </w:pPr>
    </w:p>
    <w:p w14:paraId="6F126657" w14:textId="77777777" w:rsidR="00C744C4" w:rsidRPr="002338DB" w:rsidRDefault="00C744C4" w:rsidP="00C744C4">
      <w:pPr>
        <w:spacing w:before="0" w:after="0"/>
        <w:ind w:left="425" w:firstLine="0"/>
        <w:jc w:val="both"/>
        <w:rPr>
          <w:rFonts w:ascii="Times New Roman" w:hAnsi="Times New Roman"/>
          <w:sz w:val="24"/>
          <w:szCs w:val="24"/>
          <w:lang w:val="en-US"/>
        </w:rPr>
      </w:pPr>
    </w:p>
    <w:p w14:paraId="1E9CE40C" w14:textId="12990F07" w:rsidR="00DD600C" w:rsidRPr="00C152B6" w:rsidRDefault="00C82E7A" w:rsidP="00DD600C">
      <w:pPr>
        <w:spacing w:before="0" w:after="0"/>
        <w:ind w:left="425" w:firstLine="0"/>
        <w:jc w:val="both"/>
        <w:rPr>
          <w:rFonts w:ascii="Times New Roman" w:hAnsi="Times New Roman"/>
          <w:b/>
          <w:color w:val="E62828"/>
          <w:sz w:val="24"/>
          <w:szCs w:val="24"/>
          <w:u w:val="single"/>
          <w:lang w:val="en-US"/>
        </w:rPr>
      </w:pPr>
      <w:r w:rsidRPr="00C152B6">
        <w:rPr>
          <w:rFonts w:ascii="Times New Roman" w:hAnsi="Times New Roman"/>
          <w:b/>
          <w:color w:val="E62828"/>
          <w:sz w:val="24"/>
          <w:szCs w:val="24"/>
          <w:u w:val="single"/>
          <w:lang w:val="en-US"/>
        </w:rPr>
        <w:t>EU Tax Rates</w:t>
      </w:r>
    </w:p>
    <w:p w14:paraId="672A4F2D" w14:textId="5A69C012" w:rsidR="00DD600C" w:rsidRDefault="00DD600C" w:rsidP="00DD600C">
      <w:pPr>
        <w:spacing w:before="0" w:after="0"/>
        <w:ind w:left="425" w:firstLine="0"/>
        <w:jc w:val="both"/>
        <w:rPr>
          <w:rFonts w:ascii="Times New Roman" w:hAnsi="Times New Roman"/>
          <w:sz w:val="24"/>
          <w:szCs w:val="24"/>
          <w:lang w:val="en-US"/>
        </w:rPr>
      </w:pPr>
    </w:p>
    <w:p w14:paraId="4114FF96" w14:textId="3D035B1A" w:rsidR="00995114" w:rsidRPr="00DD600C" w:rsidRDefault="00DD600C" w:rsidP="00123292">
      <w:pPr>
        <w:spacing w:before="0" w:after="0"/>
        <w:ind w:left="425" w:firstLine="0"/>
        <w:jc w:val="both"/>
        <w:rPr>
          <w:rFonts w:ascii="Times New Roman" w:hAnsi="Times New Roman"/>
          <w:sz w:val="24"/>
          <w:szCs w:val="24"/>
          <w:lang w:val="en-US"/>
        </w:rPr>
      </w:pPr>
      <w:r>
        <w:rPr>
          <w:rFonts w:ascii="Times New Roman" w:hAnsi="Times New Roman"/>
          <w:sz w:val="24"/>
          <w:szCs w:val="24"/>
          <w:lang w:val="en-US"/>
        </w:rPr>
        <w:t>In my folder, my very first task was to detail the employee, employer, and Value-Added Tax rates for all countries of the EU. This task was completed successfully.</w:t>
      </w:r>
    </w:p>
    <w:p w14:paraId="602EBE14" w14:textId="77777777" w:rsidR="00DD600C" w:rsidRDefault="00DD600C" w:rsidP="00F45B8B">
      <w:pPr>
        <w:spacing w:before="0" w:after="0"/>
        <w:ind w:left="425" w:firstLine="0"/>
        <w:jc w:val="both"/>
        <w:rPr>
          <w:noProof/>
        </w:rPr>
      </w:pPr>
    </w:p>
    <w:p w14:paraId="4ED95AD6" w14:textId="5F06DAD3" w:rsidR="00F45B8B" w:rsidRDefault="00DD600C" w:rsidP="00F45B8B">
      <w:pPr>
        <w:spacing w:before="0" w:after="0"/>
        <w:ind w:left="425" w:firstLine="0"/>
        <w:jc w:val="both"/>
        <w:rPr>
          <w:rFonts w:ascii="Times New Roman" w:hAnsi="Times New Roman"/>
          <w:b/>
          <w:sz w:val="24"/>
          <w:szCs w:val="24"/>
          <w:lang w:val="en-US"/>
        </w:rPr>
      </w:pPr>
      <w:r>
        <w:rPr>
          <w:noProof/>
        </w:rPr>
        <w:drawing>
          <wp:inline distT="0" distB="0" distL="0" distR="0" wp14:anchorId="71DC66E0" wp14:editId="7BFE1F62">
            <wp:extent cx="3147238" cy="35969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60923" b="20597"/>
                    <a:stretch/>
                  </pic:blipFill>
                  <pic:spPr bwMode="auto">
                    <a:xfrm>
                      <a:off x="0" y="0"/>
                      <a:ext cx="3153423" cy="3604018"/>
                    </a:xfrm>
                    <a:prstGeom prst="rect">
                      <a:avLst/>
                    </a:prstGeom>
                    <a:ln>
                      <a:noFill/>
                    </a:ln>
                    <a:extLst>
                      <a:ext uri="{53640926-AAD7-44D8-BBD7-CCE9431645EC}">
                        <a14:shadowObscured xmlns:a14="http://schemas.microsoft.com/office/drawing/2010/main"/>
                      </a:ext>
                    </a:extLst>
                  </pic:spPr>
                </pic:pic>
              </a:graphicData>
            </a:graphic>
          </wp:inline>
        </w:drawing>
      </w:r>
    </w:p>
    <w:p w14:paraId="2505C3F8" w14:textId="693BC979" w:rsidR="00DD600C" w:rsidRDefault="00DD600C" w:rsidP="00F45B8B">
      <w:pPr>
        <w:spacing w:before="0" w:after="0"/>
        <w:ind w:left="425" w:firstLine="0"/>
        <w:jc w:val="both"/>
        <w:rPr>
          <w:rFonts w:ascii="Times New Roman" w:hAnsi="Times New Roman"/>
          <w:b/>
          <w:sz w:val="24"/>
          <w:szCs w:val="24"/>
          <w:lang w:val="en-US"/>
        </w:rPr>
      </w:pPr>
    </w:p>
    <w:p w14:paraId="35AD12A1" w14:textId="5739E1D7" w:rsidR="00DD600C" w:rsidRPr="00C152B6" w:rsidRDefault="00DD600C" w:rsidP="00F45B8B">
      <w:pPr>
        <w:spacing w:before="0" w:after="0"/>
        <w:ind w:left="425" w:firstLine="0"/>
        <w:jc w:val="both"/>
        <w:rPr>
          <w:rFonts w:ascii="Times New Roman" w:hAnsi="Times New Roman"/>
          <w:color w:val="E62828"/>
          <w:sz w:val="24"/>
          <w:szCs w:val="24"/>
          <w:u w:val="single"/>
          <w:lang w:val="en-US"/>
        </w:rPr>
      </w:pPr>
      <w:r w:rsidRPr="00C152B6">
        <w:rPr>
          <w:rFonts w:ascii="Times New Roman" w:hAnsi="Times New Roman"/>
          <w:b/>
          <w:color w:val="E62828"/>
          <w:sz w:val="24"/>
          <w:szCs w:val="24"/>
          <w:u w:val="single"/>
          <w:lang w:val="en-US"/>
        </w:rPr>
        <w:t>Bank List</w:t>
      </w:r>
    </w:p>
    <w:p w14:paraId="6299D83C" w14:textId="430969F0" w:rsidR="00DD600C" w:rsidRDefault="00DD600C" w:rsidP="00F45B8B">
      <w:pPr>
        <w:spacing w:before="0" w:after="0"/>
        <w:ind w:left="425" w:firstLine="0"/>
        <w:jc w:val="both"/>
        <w:rPr>
          <w:rFonts w:ascii="Times New Roman" w:hAnsi="Times New Roman"/>
          <w:sz w:val="24"/>
          <w:szCs w:val="24"/>
          <w:lang w:val="en-US"/>
        </w:rPr>
      </w:pPr>
    </w:p>
    <w:p w14:paraId="410B9A7B" w14:textId="77777777" w:rsidR="00995114" w:rsidRDefault="00DD600C" w:rsidP="00F45B8B">
      <w:pPr>
        <w:spacing w:before="0" w:after="0"/>
        <w:ind w:left="425" w:firstLine="0"/>
        <w:jc w:val="both"/>
        <w:rPr>
          <w:rFonts w:ascii="Times New Roman" w:hAnsi="Times New Roman"/>
          <w:sz w:val="24"/>
          <w:szCs w:val="24"/>
          <w:lang w:val="en-US"/>
        </w:rPr>
      </w:pPr>
      <w:r>
        <w:rPr>
          <w:rFonts w:ascii="Times New Roman" w:hAnsi="Times New Roman"/>
          <w:sz w:val="24"/>
          <w:szCs w:val="24"/>
          <w:lang w:val="en-US"/>
        </w:rPr>
        <w:t xml:space="preserve">Located in my folder is a list of all banks I have been in contact with these past few weeks. I have contacted banks in Austria, Malta, Croatia, and Ireland mostly for a total of </w:t>
      </w:r>
      <w:r w:rsidRPr="00DD600C">
        <w:rPr>
          <w:rFonts w:ascii="Times New Roman" w:hAnsi="Times New Roman"/>
          <w:sz w:val="24"/>
          <w:szCs w:val="24"/>
          <w:u w:val="single"/>
          <w:lang w:val="en-US"/>
        </w:rPr>
        <w:t>77</w:t>
      </w:r>
      <w:r>
        <w:rPr>
          <w:rFonts w:ascii="Times New Roman" w:hAnsi="Times New Roman"/>
          <w:sz w:val="24"/>
          <w:szCs w:val="24"/>
          <w:lang w:val="en-US"/>
        </w:rPr>
        <w:t xml:space="preserve"> banks. </w:t>
      </w:r>
    </w:p>
    <w:p w14:paraId="5B31E47E" w14:textId="69319CA9" w:rsidR="00DD600C" w:rsidRDefault="00995114" w:rsidP="00F45B8B">
      <w:pPr>
        <w:spacing w:before="0" w:after="0"/>
        <w:ind w:left="425" w:firstLine="0"/>
        <w:jc w:val="both"/>
        <w:rPr>
          <w:rFonts w:ascii="Times New Roman" w:hAnsi="Times New Roman"/>
          <w:sz w:val="24"/>
          <w:szCs w:val="24"/>
          <w:lang w:val="en-US"/>
        </w:rPr>
      </w:pPr>
      <w:r>
        <w:rPr>
          <w:rFonts w:ascii="Times New Roman" w:hAnsi="Times New Roman"/>
          <w:sz w:val="24"/>
          <w:szCs w:val="24"/>
          <w:lang w:val="en-US"/>
        </w:rPr>
        <w:t xml:space="preserve">(Location: Anthony Giove </w:t>
      </w:r>
      <w:r w:rsidRPr="00995114">
        <w:rPr>
          <w:rFonts w:ascii="Times New Roman" w:hAnsi="Times New Roman"/>
          <w:sz w:val="24"/>
          <w:szCs w:val="24"/>
          <w:lang w:val="en-US"/>
        </w:rPr>
        <w:sym w:font="Wingdings" w:char="F0E0"/>
      </w:r>
      <w:r>
        <w:rPr>
          <w:rFonts w:ascii="Times New Roman" w:hAnsi="Times New Roman"/>
          <w:sz w:val="24"/>
          <w:szCs w:val="24"/>
          <w:lang w:val="en-US"/>
        </w:rPr>
        <w:t xml:space="preserve"> Banks </w:t>
      </w:r>
      <w:r w:rsidRPr="00995114">
        <w:rPr>
          <w:rFonts w:ascii="Times New Roman" w:hAnsi="Times New Roman"/>
          <w:sz w:val="24"/>
          <w:szCs w:val="24"/>
          <w:lang w:val="en-US"/>
        </w:rPr>
        <w:sym w:font="Wingdings" w:char="F0E0"/>
      </w:r>
      <w:r>
        <w:rPr>
          <w:rFonts w:ascii="Times New Roman" w:hAnsi="Times New Roman"/>
          <w:sz w:val="24"/>
          <w:szCs w:val="24"/>
          <w:lang w:val="en-US"/>
        </w:rPr>
        <w:t xml:space="preserve"> Bank List)</w:t>
      </w:r>
    </w:p>
    <w:p w14:paraId="2F53F45C" w14:textId="42D235A7" w:rsidR="003B4C85" w:rsidRDefault="003B4C85" w:rsidP="00F45B8B">
      <w:pPr>
        <w:spacing w:before="0" w:after="0"/>
        <w:ind w:left="425" w:firstLine="0"/>
        <w:jc w:val="both"/>
        <w:rPr>
          <w:rFonts w:ascii="Times New Roman" w:hAnsi="Times New Roman"/>
          <w:sz w:val="24"/>
          <w:szCs w:val="24"/>
          <w:lang w:val="en-US"/>
        </w:rPr>
      </w:pPr>
    </w:p>
    <w:p w14:paraId="359797A8" w14:textId="6AF9E91C" w:rsidR="00DD600C" w:rsidRDefault="003B4C85" w:rsidP="00A16B87">
      <w:pPr>
        <w:spacing w:before="0" w:after="0"/>
        <w:ind w:left="425" w:firstLine="0"/>
        <w:jc w:val="both"/>
        <w:rPr>
          <w:rFonts w:ascii="Times New Roman" w:hAnsi="Times New Roman"/>
          <w:sz w:val="24"/>
          <w:szCs w:val="24"/>
          <w:lang w:val="en-US"/>
        </w:rPr>
      </w:pPr>
      <w:r>
        <w:rPr>
          <w:rFonts w:ascii="Times New Roman" w:hAnsi="Times New Roman"/>
          <w:sz w:val="24"/>
          <w:szCs w:val="24"/>
          <w:lang w:val="en-US"/>
        </w:rPr>
        <w:t xml:space="preserve">This list included information regarding the location of a bank in Ireland to accept Irish company with UK director and Czech shareholder. After sending a multitude of emails and calls out, the most prominent bank I heard from was Ulster Bank. I contacted them first by email and received an application </w:t>
      </w:r>
      <w:r w:rsidR="00A16B87">
        <w:rPr>
          <w:rFonts w:ascii="Times New Roman" w:hAnsi="Times New Roman"/>
          <w:sz w:val="24"/>
          <w:szCs w:val="24"/>
          <w:lang w:val="en-US"/>
        </w:rPr>
        <w:t xml:space="preserve">that </w:t>
      </w:r>
      <w:r>
        <w:rPr>
          <w:rFonts w:ascii="Times New Roman" w:hAnsi="Times New Roman"/>
          <w:sz w:val="24"/>
          <w:szCs w:val="24"/>
          <w:lang w:val="en-US"/>
        </w:rPr>
        <w:t xml:space="preserve">upon completion would lead to the understanding of what documents are required to </w:t>
      </w:r>
      <w:r>
        <w:rPr>
          <w:rFonts w:ascii="Times New Roman" w:hAnsi="Times New Roman"/>
          <w:sz w:val="24"/>
          <w:szCs w:val="24"/>
          <w:lang w:val="en-US"/>
        </w:rPr>
        <w:lastRenderedPageBreak/>
        <w:t>fully begin the process of</w:t>
      </w:r>
      <w:r w:rsidR="002E78C0">
        <w:rPr>
          <w:rFonts w:ascii="Times New Roman" w:hAnsi="Times New Roman"/>
          <w:sz w:val="24"/>
          <w:szCs w:val="24"/>
          <w:lang w:val="en-US"/>
        </w:rPr>
        <w:t xml:space="preserve"> opening a bank account with them. I wanted to be clear on this information, so I called them to discuss the available options over the phone and </w:t>
      </w:r>
      <w:r w:rsidR="00A16B87">
        <w:rPr>
          <w:rFonts w:ascii="Times New Roman" w:hAnsi="Times New Roman"/>
          <w:sz w:val="24"/>
          <w:szCs w:val="24"/>
          <w:lang w:val="en-US"/>
        </w:rPr>
        <w:t xml:space="preserve">confirm the completion of this application and they did. After successfully completing their online application, they would reach out with what proper documentation they need to move forward with the account opening. </w:t>
      </w:r>
    </w:p>
    <w:p w14:paraId="1070CAA4" w14:textId="475447BE" w:rsidR="00A16B87" w:rsidRDefault="00A16B87" w:rsidP="00A16B87">
      <w:pPr>
        <w:spacing w:before="0" w:after="0"/>
        <w:ind w:left="425" w:firstLine="0"/>
        <w:jc w:val="both"/>
      </w:pPr>
      <w:r>
        <w:rPr>
          <w:rFonts w:ascii="Times New Roman" w:hAnsi="Times New Roman"/>
          <w:sz w:val="24"/>
          <w:szCs w:val="24"/>
          <w:lang w:val="en-US"/>
        </w:rPr>
        <w:t xml:space="preserve">(Link: </w:t>
      </w:r>
      <w:hyperlink r:id="rId9" w:tgtFrame="_blank" w:history="1">
        <w:r>
          <w:rPr>
            <w:rStyle w:val="Hyperlink"/>
            <w:rFonts w:ascii="Arial" w:hAnsi="Arial" w:cs="Arial"/>
            <w:color w:val="1155CC"/>
            <w:sz w:val="18"/>
            <w:szCs w:val="18"/>
            <w:shd w:val="clear" w:color="auto" w:fill="FFFFFF"/>
          </w:rPr>
          <w:t>www.ulsterbank.ie/businesscurrentaccounts</w:t>
        </w:r>
      </w:hyperlink>
      <w:r>
        <w:t>)</w:t>
      </w:r>
    </w:p>
    <w:p w14:paraId="07512ECD" w14:textId="507D1BBB" w:rsidR="00A16B87" w:rsidRDefault="00A16B87" w:rsidP="00A16B87">
      <w:pPr>
        <w:spacing w:before="0" w:after="0"/>
        <w:ind w:left="425" w:firstLine="0"/>
        <w:jc w:val="both"/>
      </w:pPr>
    </w:p>
    <w:p w14:paraId="6A9DA3AE" w14:textId="60694072" w:rsidR="00A16B87" w:rsidRPr="00C152B6" w:rsidRDefault="005D3C0D" w:rsidP="00A16B87">
      <w:pPr>
        <w:spacing w:before="0" w:after="0"/>
        <w:ind w:left="425" w:firstLine="0"/>
        <w:jc w:val="both"/>
        <w:rPr>
          <w:rFonts w:ascii="Times New Roman" w:hAnsi="Times New Roman"/>
          <w:b/>
          <w:color w:val="E62828"/>
          <w:sz w:val="24"/>
          <w:szCs w:val="24"/>
          <w:u w:val="single"/>
          <w:lang w:val="en-US"/>
        </w:rPr>
      </w:pPr>
      <w:r w:rsidRPr="00C152B6">
        <w:rPr>
          <w:rFonts w:ascii="Times New Roman" w:hAnsi="Times New Roman"/>
          <w:b/>
          <w:color w:val="E62828"/>
          <w:sz w:val="24"/>
          <w:szCs w:val="24"/>
          <w:u w:val="single"/>
          <w:lang w:val="en-US"/>
        </w:rPr>
        <w:t>Crypto Currencies</w:t>
      </w:r>
    </w:p>
    <w:p w14:paraId="40DA3EB0" w14:textId="0FA3C7A6" w:rsidR="005D3C0D" w:rsidRDefault="005D3C0D" w:rsidP="00A16B87">
      <w:pPr>
        <w:spacing w:before="0" w:after="0"/>
        <w:ind w:left="425" w:firstLine="0"/>
        <w:jc w:val="both"/>
        <w:rPr>
          <w:rFonts w:ascii="Times New Roman" w:hAnsi="Times New Roman"/>
          <w:b/>
          <w:sz w:val="24"/>
          <w:szCs w:val="24"/>
          <w:lang w:val="en-US"/>
        </w:rPr>
      </w:pPr>
    </w:p>
    <w:p w14:paraId="310E2176" w14:textId="77777777" w:rsidR="009A7F2E" w:rsidRDefault="00852AFD" w:rsidP="00A16B87">
      <w:pPr>
        <w:spacing w:before="0" w:after="0"/>
        <w:ind w:left="425" w:firstLine="0"/>
        <w:jc w:val="both"/>
        <w:rPr>
          <w:rFonts w:ascii="Times New Roman" w:hAnsi="Times New Roman"/>
          <w:sz w:val="24"/>
          <w:szCs w:val="24"/>
          <w:lang w:val="en-US"/>
        </w:rPr>
      </w:pPr>
      <w:r>
        <w:rPr>
          <w:rFonts w:ascii="Times New Roman" w:hAnsi="Times New Roman"/>
          <w:sz w:val="24"/>
          <w:szCs w:val="24"/>
          <w:lang w:val="en-US"/>
        </w:rPr>
        <w:t>Received a client who wanted to create a company involving a software game in which the distribution of bitcoin would occur. Researched and detailed out what licenses are needed by the UK government and other countries, as well as if the registration of any normal bank account opening would be possible for offshore crypto currency.</w:t>
      </w:r>
      <w:r w:rsidR="009A7F2E">
        <w:rPr>
          <w:rFonts w:ascii="Times New Roman" w:hAnsi="Times New Roman"/>
          <w:sz w:val="24"/>
          <w:szCs w:val="24"/>
          <w:lang w:val="en-US"/>
        </w:rPr>
        <w:t xml:space="preserve"> The following information is what I had reported: </w:t>
      </w:r>
    </w:p>
    <w:p w14:paraId="67219E02" w14:textId="3067AC54" w:rsidR="009A7F2E" w:rsidRPr="00082BAB" w:rsidRDefault="009A7F2E" w:rsidP="009A7F2E">
      <w:pPr>
        <w:spacing w:before="100" w:beforeAutospacing="1" w:after="100" w:afterAutospacing="1"/>
        <w:ind w:left="0" w:firstLine="357"/>
        <w:rPr>
          <w:rFonts w:ascii="Times New Roman" w:hAnsi="Times New Roman"/>
          <w:b/>
          <w:sz w:val="24"/>
          <w:szCs w:val="24"/>
          <w:lang w:val="en-US"/>
        </w:rPr>
      </w:pPr>
      <w:r w:rsidRPr="00082BAB">
        <w:rPr>
          <w:rFonts w:ascii="Times New Roman" w:hAnsi="Times New Roman"/>
          <w:b/>
          <w:sz w:val="24"/>
          <w:szCs w:val="24"/>
          <w:lang w:val="en-US"/>
        </w:rPr>
        <w:t>EU</w:t>
      </w:r>
    </w:p>
    <w:p w14:paraId="0FB7AC7D"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Virtual currency exchange platforms will be required to identify the client who trades with an amount exceeding 1000 EUR and to perform a control of the client in relation to the purpose of the respective business transaction and the source of the funds, via the European Banking Authority. If the client carries out a suspicious transaction, the obliged entity has an obligation to perform a control of the client. </w:t>
      </w:r>
    </w:p>
    <w:p w14:paraId="1460F142" w14:textId="124FD2BE" w:rsidR="009A7F2E" w:rsidRPr="00BC0062"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Regarding the recent proposals that were adopted by the European Commission, those engaged in exchanging between virtual and fiat currencies are now included to be added to the list of obliged </w:t>
      </w:r>
      <w:r w:rsidR="00C15B2B">
        <w:rPr>
          <w:rFonts w:ascii="Times New Roman" w:hAnsi="Times New Roman"/>
          <w:sz w:val="24"/>
          <w:szCs w:val="24"/>
          <w:lang w:val="en-US"/>
        </w:rPr>
        <w:t>entities required</w:t>
      </w:r>
      <w:r>
        <w:rPr>
          <w:rFonts w:ascii="Times New Roman" w:hAnsi="Times New Roman"/>
          <w:sz w:val="24"/>
          <w:szCs w:val="24"/>
          <w:lang w:val="en-US"/>
        </w:rPr>
        <w:t xml:space="preserve"> to carry out customer due diligence (KYC), monitor transactions, and report suspicious transactions (exchanges between virtual currency to virtual currency are not covered). </w:t>
      </w:r>
    </w:p>
    <w:p w14:paraId="66142D24"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b/>
          <w:sz w:val="24"/>
          <w:szCs w:val="24"/>
          <w:lang w:val="en-US"/>
        </w:rPr>
        <w:t>Belize</w:t>
      </w:r>
    </w:p>
    <w:p w14:paraId="2F14B8D0" w14:textId="77777777" w:rsidR="009A7F2E" w:rsidRPr="002A4490"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Bitcoin is not licensed/regulated by the International Financial Services Commission of Belize, or any other competent authority in Belize.</w:t>
      </w:r>
    </w:p>
    <w:p w14:paraId="4902CB45" w14:textId="77777777" w:rsidR="009A7F2E" w:rsidRDefault="009A7F2E" w:rsidP="009A7F2E">
      <w:pPr>
        <w:spacing w:before="100" w:beforeAutospacing="1" w:after="100" w:afterAutospacing="1"/>
        <w:rPr>
          <w:rFonts w:ascii="Times New Roman" w:hAnsi="Times New Roman"/>
          <w:b/>
          <w:sz w:val="24"/>
          <w:szCs w:val="24"/>
          <w:lang w:val="en-US"/>
        </w:rPr>
      </w:pPr>
      <w:r>
        <w:rPr>
          <w:rFonts w:ascii="Times New Roman" w:hAnsi="Times New Roman"/>
          <w:b/>
          <w:sz w:val="24"/>
          <w:szCs w:val="24"/>
          <w:lang w:val="en-US"/>
        </w:rPr>
        <w:t>Panama</w:t>
      </w:r>
    </w:p>
    <w:p w14:paraId="0B3CE964"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Panama Financial Services License – allows the following claim: _____ is a financial institution licensed by </w:t>
      </w:r>
      <w:proofErr w:type="spellStart"/>
      <w:r>
        <w:rPr>
          <w:rFonts w:ascii="Times New Roman" w:hAnsi="Times New Roman"/>
          <w:sz w:val="24"/>
          <w:szCs w:val="24"/>
          <w:lang w:val="en-US"/>
        </w:rPr>
        <w:t>Ministerio</w:t>
      </w:r>
      <w:proofErr w:type="spellEnd"/>
      <w:r>
        <w:rPr>
          <w:rFonts w:ascii="Times New Roman" w:hAnsi="Times New Roman"/>
          <w:sz w:val="24"/>
          <w:szCs w:val="24"/>
          <w:lang w:val="en-US"/>
        </w:rPr>
        <w:t xml:space="preserve"> de Comercio e </w:t>
      </w:r>
      <w:proofErr w:type="spellStart"/>
      <w:r>
        <w:rPr>
          <w:rFonts w:ascii="Times New Roman" w:hAnsi="Times New Roman"/>
          <w:sz w:val="24"/>
          <w:szCs w:val="24"/>
          <w:lang w:val="en-US"/>
        </w:rPr>
        <w:t>Industrias</w:t>
      </w:r>
      <w:proofErr w:type="spellEnd"/>
      <w:r>
        <w:rPr>
          <w:rFonts w:ascii="Times New Roman" w:hAnsi="Times New Roman"/>
          <w:sz w:val="24"/>
          <w:szCs w:val="24"/>
          <w:lang w:val="en-US"/>
        </w:rPr>
        <w:t xml:space="preserve"> – Reu\public of Panama (MICI) in Panama as a Financial Institution and a member of the SWIFT/BIC Network Code: BTCAPAP1.</w:t>
      </w:r>
    </w:p>
    <w:p w14:paraId="3AD25435"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Avg. cost for a licensed offshore bitcoin firm: </w:t>
      </w:r>
      <w:r>
        <w:rPr>
          <w:rFonts w:ascii="Times New Roman" w:hAnsi="Times New Roman"/>
          <w:b/>
          <w:sz w:val="24"/>
          <w:szCs w:val="24"/>
          <w:lang w:val="en-US"/>
        </w:rPr>
        <w:t xml:space="preserve">$35,000 (includes opening of business account, assist in office space/virtual office search, 12 months of tax/business consulting). </w:t>
      </w:r>
      <w:r>
        <w:rPr>
          <w:rFonts w:ascii="Times New Roman" w:hAnsi="Times New Roman"/>
          <w:sz w:val="24"/>
          <w:szCs w:val="24"/>
          <w:lang w:val="en-US"/>
        </w:rPr>
        <w:t xml:space="preserve">Annual fees are about $1,500/year thereafter. Takes usually 7 days to form the company and 15 days to receive the license. (via </w:t>
      </w:r>
      <w:hyperlink r:id="rId10" w:history="1">
        <w:r w:rsidRPr="00FE38FC">
          <w:rPr>
            <w:rStyle w:val="Hyperlink"/>
            <w:rFonts w:ascii="Times New Roman" w:hAnsi="Times New Roman"/>
            <w:sz w:val="24"/>
            <w:szCs w:val="24"/>
            <w:lang w:val="en-US"/>
          </w:rPr>
          <w:t>http://premieroffshore.com/low-cost-offshore-bitcoin-license/</w:t>
        </w:r>
      </w:hyperlink>
      <w:r>
        <w:rPr>
          <w:rFonts w:ascii="Times New Roman" w:hAnsi="Times New Roman"/>
          <w:sz w:val="24"/>
          <w:szCs w:val="24"/>
          <w:lang w:val="en-US"/>
        </w:rPr>
        <w:t>)</w:t>
      </w:r>
    </w:p>
    <w:p w14:paraId="31F5358B" w14:textId="77777777" w:rsidR="009A7F2E" w:rsidRPr="004D4AC5" w:rsidRDefault="009A7F2E" w:rsidP="009A7F2E">
      <w:pPr>
        <w:spacing w:before="100" w:beforeAutospacing="1" w:after="100" w:afterAutospacing="1"/>
        <w:ind w:left="0" w:firstLine="357"/>
        <w:rPr>
          <w:rFonts w:ascii="Times New Roman" w:hAnsi="Times New Roman"/>
          <w:b/>
          <w:sz w:val="24"/>
          <w:szCs w:val="24"/>
          <w:lang w:val="en-US"/>
        </w:rPr>
      </w:pPr>
      <w:r>
        <w:rPr>
          <w:rFonts w:ascii="Times New Roman" w:hAnsi="Times New Roman"/>
          <w:b/>
          <w:sz w:val="24"/>
          <w:szCs w:val="24"/>
          <w:lang w:val="en-US"/>
        </w:rPr>
        <w:t>United Kingdom</w:t>
      </w:r>
    </w:p>
    <w:p w14:paraId="2713E97E"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lastRenderedPageBreak/>
        <w:t>Crypto currency, also referred to as Bitcoin, is treated as private money in the UK, thus being subject to VAT (value added tax), corporate tax, income tax and capital gains tax. Every commercial activity is subject to tax, whether you provide goods/services in exchange for bitcoin. Taxation of bitcoin</w:t>
      </w:r>
      <w:r w:rsidRPr="002338DB">
        <w:rPr>
          <w:rFonts w:ascii="Times New Roman" w:hAnsi="Times New Roman"/>
          <w:sz w:val="24"/>
          <w:szCs w:val="24"/>
          <w:lang w:val="en-US"/>
        </w:rPr>
        <w:t xml:space="preserve"> </w:t>
      </w:r>
      <w:r>
        <w:rPr>
          <w:rFonts w:ascii="Times New Roman" w:hAnsi="Times New Roman"/>
          <w:sz w:val="24"/>
          <w:szCs w:val="24"/>
          <w:lang w:val="en-US"/>
        </w:rPr>
        <w:t xml:space="preserve">varies. In this scenario being a company of a software game that sells/buys bitcoins, the client will be subject to a corporation tax. </w:t>
      </w:r>
    </w:p>
    <w:p w14:paraId="41F15200" w14:textId="77777777" w:rsidR="009A7F2E" w:rsidRDefault="009A7F2E" w:rsidP="009A7F2E">
      <w:pPr>
        <w:spacing w:before="100" w:beforeAutospacing="1" w:after="100" w:afterAutospacing="1"/>
        <w:rPr>
          <w:rFonts w:ascii="Times New Roman" w:hAnsi="Times New Roman"/>
          <w:sz w:val="24"/>
          <w:szCs w:val="24"/>
          <w:lang w:val="en-US"/>
        </w:rPr>
      </w:pPr>
      <w:r w:rsidRPr="00B170A8">
        <w:rPr>
          <w:rFonts w:ascii="Times New Roman" w:hAnsi="Times New Roman"/>
          <w:strike/>
          <w:sz w:val="24"/>
          <w:szCs w:val="24"/>
          <w:lang w:val="en-US"/>
        </w:rPr>
        <w:t>MUST register with or become authorized by the FCA as an electronic money institution (EMI) to issue electronic money (e-money).</w:t>
      </w:r>
      <w:r>
        <w:rPr>
          <w:rFonts w:ascii="Times New Roman" w:hAnsi="Times New Roman"/>
          <w:sz w:val="24"/>
          <w:szCs w:val="24"/>
          <w:lang w:val="en-US"/>
        </w:rPr>
        <w:t xml:space="preserve"> “Cryptocurrency doesn’t meet the definition of e-money in the FCA handbook, as it isn’t issued on receipt of funds. However, it is your responsibility to ensure that you’re properly authorized if required.” (via FCA email inquiry)</w:t>
      </w:r>
    </w:p>
    <w:p w14:paraId="61E3B1EC" w14:textId="77777777" w:rsidR="009A7F2E" w:rsidRDefault="009A7F2E" w:rsidP="009A7F2E">
      <w:pPr>
        <w:spacing w:before="100" w:beforeAutospacing="1" w:after="100" w:afterAutospacing="1"/>
        <w:rPr>
          <w:lang w:val="en-US"/>
        </w:rPr>
      </w:pPr>
      <w:r>
        <w:rPr>
          <w:rFonts w:ascii="Times New Roman" w:hAnsi="Times New Roman"/>
          <w:sz w:val="24"/>
          <w:szCs w:val="24"/>
          <w:lang w:val="en-US"/>
        </w:rPr>
        <w:t xml:space="preserve">According to the HMRC regarding a company subject to corporation tax, </w:t>
      </w:r>
      <w:r w:rsidRPr="00993B12">
        <w:rPr>
          <w:rFonts w:ascii="Times New Roman" w:hAnsi="Times New Roman"/>
          <w:sz w:val="24"/>
          <w:szCs w:val="24"/>
          <w:lang w:val="en-US"/>
        </w:rPr>
        <w:t>“</w:t>
      </w:r>
      <w:r w:rsidRPr="00993B12">
        <w:rPr>
          <w:lang w:val="en-US"/>
        </w:rPr>
        <w:t>‘</w:t>
      </w:r>
      <w:r w:rsidRPr="00993B12">
        <w:rPr>
          <w:color w:val="000000" w:themeColor="text1"/>
          <w:lang w:val="en-US"/>
        </w:rPr>
        <w:t>For companies, exchange movements are determined between the company’s functional currency (usually the currency in which the accounts are prepared) and the other currency in question. If there is an exchange rate between Bitcoin and the functional currency then this analysis applies. Therefore, no special tax rules for Bitcoin transactions are required. The profits and losses of a company entering into transactions involving Bitcoin would be reflected in accounts and taxable under normal CT rules.</w:t>
      </w:r>
      <w:r>
        <w:rPr>
          <w:lang w:val="en-US"/>
        </w:rPr>
        <w:t xml:space="preserve">” (via </w:t>
      </w:r>
      <w:hyperlink r:id="rId11" w:history="1">
        <w:r w:rsidRPr="00710830">
          <w:rPr>
            <w:rStyle w:val="Hyperlink"/>
            <w:lang w:val="en-US"/>
          </w:rPr>
          <w:t>http://www.taxchambers.com/wp-content/uploads/2016/12/Taxation-of-Virtual-Currencies.pdf</w:t>
        </w:r>
      </w:hyperlink>
      <w:r>
        <w:rPr>
          <w:lang w:val="en-US"/>
        </w:rPr>
        <w:t>)</w:t>
      </w:r>
    </w:p>
    <w:p w14:paraId="772DA876"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When Bitcoin is exchanged for sterling or a traditional foreign currency, no VAT is due on the value of the Bitcoins themselves. Income received from Bitcoin mining activities will generally be outside the scope of VAT. Charges made over and above the value of the Bitcoin for arranging/carrying out transactions in Bitcoin will be exempt from VAT. (via </w:t>
      </w:r>
      <w:hyperlink r:id="rId12" w:history="1">
        <w:r w:rsidRPr="00710830">
          <w:rPr>
            <w:rStyle w:val="Hyperlink"/>
            <w:rFonts w:ascii="Times New Roman" w:hAnsi="Times New Roman"/>
            <w:sz w:val="24"/>
            <w:szCs w:val="24"/>
            <w:lang w:val="en-US"/>
          </w:rPr>
          <w:t>https://www.gov.uk/government/publications/revenue-and-customs-brief-9-2014-bitcoin-and-other-cryptocurrencies/revenue-and-customs-brief-9-2014-bitcoin-and-other-cryptocurrencies</w:t>
        </w:r>
      </w:hyperlink>
      <w:r>
        <w:rPr>
          <w:rFonts w:ascii="Times New Roman" w:hAnsi="Times New Roman"/>
          <w:sz w:val="24"/>
          <w:szCs w:val="24"/>
          <w:lang w:val="en-US"/>
        </w:rPr>
        <w:t>)</w:t>
      </w:r>
    </w:p>
    <w:p w14:paraId="2DA4AF21"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ab/>
        <w:t xml:space="preserve">For businesses which accept payment for goods or services in Bitcoin, there is no change to when revenue is recognized or how taxable profits are calculated. </w:t>
      </w:r>
    </w:p>
    <w:p w14:paraId="21DF4CFF"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ab/>
        <w:t>Corporate Tax: for tax treatment on virtual currencies, the general rules on foreign exchange and loan relationships apply. If there is an exchange rate between Bitcoin and the functional currency then no special tax rules for Bitcoin transactions are required. The profits/losses of a company entering into transactions involving Bitcoin would be reflected in accounts and taxable under normal CT rules.</w:t>
      </w:r>
    </w:p>
    <w:p w14:paraId="0E999B78"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ab/>
        <w:t>Gains/losses incurred on Bitcoin are chargeable or allowable for Corporate Gains Tax if they accrue to an individual or, for Corporate Tax if they accrue to a company.</w:t>
      </w:r>
    </w:p>
    <w:p w14:paraId="35EE135A"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ab/>
        <w:t>Profits/losses of a non-incorporated business on Bitcoin transactions must be reflected in their accounts and will be taxable on normal Incorporated Tax rules.</w:t>
      </w:r>
    </w:p>
    <w:p w14:paraId="0969257C" w14:textId="77777777" w:rsidR="009A7F2E" w:rsidRPr="00355D70"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ab/>
      </w:r>
    </w:p>
    <w:p w14:paraId="21CFCBF5" w14:textId="77777777" w:rsidR="009A7F2E" w:rsidRDefault="009A7F2E" w:rsidP="009A7F2E">
      <w:pPr>
        <w:spacing w:before="100" w:beforeAutospacing="1" w:after="100" w:afterAutospacing="1"/>
        <w:ind w:left="0" w:firstLine="357"/>
        <w:rPr>
          <w:rFonts w:ascii="Times New Roman" w:hAnsi="Times New Roman"/>
          <w:b/>
          <w:sz w:val="24"/>
          <w:szCs w:val="24"/>
          <w:lang w:val="en-US"/>
        </w:rPr>
      </w:pPr>
      <w:r>
        <w:rPr>
          <w:rFonts w:ascii="Times New Roman" w:hAnsi="Times New Roman"/>
          <w:b/>
          <w:sz w:val="24"/>
          <w:szCs w:val="24"/>
          <w:lang w:val="en-US"/>
        </w:rPr>
        <w:t>Czech Republic</w:t>
      </w:r>
    </w:p>
    <w:p w14:paraId="3BD03B8A"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lastRenderedPageBreak/>
        <w:t xml:space="preserve">According to the Czech National Bank, the bitcoin does not constitute the characteristics of a financial instrument. The characteristics of money exchange trade are not met (banknotes, coins, checks). </w:t>
      </w:r>
    </w:p>
    <w:p w14:paraId="3E88E630"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b/>
          <w:sz w:val="24"/>
          <w:szCs w:val="24"/>
          <w:lang w:val="en-US"/>
        </w:rPr>
        <w:t>Germany</w:t>
      </w:r>
    </w:p>
    <w:p w14:paraId="24F39D1A" w14:textId="77777777" w:rsidR="009A7F2E"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Germany recognizes bitcoin as private money. Exchange gains are subject to </w:t>
      </w:r>
      <w:r>
        <w:rPr>
          <w:rFonts w:ascii="Times New Roman" w:hAnsi="Times New Roman"/>
          <w:b/>
          <w:sz w:val="24"/>
          <w:szCs w:val="24"/>
          <w:lang w:val="en-US"/>
        </w:rPr>
        <w:t>25% taxation</w:t>
      </w:r>
      <w:r>
        <w:rPr>
          <w:rFonts w:ascii="Times New Roman" w:hAnsi="Times New Roman"/>
          <w:sz w:val="24"/>
          <w:szCs w:val="24"/>
          <w:lang w:val="en-US"/>
        </w:rPr>
        <w:t xml:space="preserve"> by the tax on capital assets; after 12 months, however, they are tax exempt. Bitcoin transactions are tax exempt from </w:t>
      </w:r>
      <w:proofErr w:type="gramStart"/>
      <w:r>
        <w:rPr>
          <w:rFonts w:ascii="Times New Roman" w:hAnsi="Times New Roman"/>
          <w:sz w:val="24"/>
          <w:szCs w:val="24"/>
          <w:lang w:val="en-US"/>
        </w:rPr>
        <w:t>VAT .</w:t>
      </w:r>
      <w:proofErr w:type="gramEnd"/>
      <w:r>
        <w:rPr>
          <w:rFonts w:ascii="Times New Roman" w:hAnsi="Times New Roman"/>
          <w:sz w:val="24"/>
          <w:szCs w:val="24"/>
          <w:lang w:val="en-US"/>
        </w:rPr>
        <w:t xml:space="preserve"> </w:t>
      </w:r>
    </w:p>
    <w:p w14:paraId="30DEA3DF" w14:textId="77777777" w:rsidR="009A7F2E" w:rsidRDefault="009A7F2E" w:rsidP="009A7F2E">
      <w:pPr>
        <w:spacing w:before="100" w:beforeAutospacing="1" w:after="100" w:afterAutospacing="1"/>
        <w:rPr>
          <w:rFonts w:ascii="Times New Roman" w:hAnsi="Times New Roman"/>
          <w:b/>
          <w:sz w:val="24"/>
          <w:szCs w:val="24"/>
          <w:lang w:val="en-US"/>
        </w:rPr>
      </w:pPr>
      <w:r>
        <w:rPr>
          <w:rFonts w:ascii="Times New Roman" w:hAnsi="Times New Roman"/>
          <w:b/>
          <w:sz w:val="24"/>
          <w:szCs w:val="24"/>
          <w:lang w:val="en-US"/>
        </w:rPr>
        <w:t>Columbia</w:t>
      </w:r>
    </w:p>
    <w:p w14:paraId="6841690B" w14:textId="77777777" w:rsidR="009A7F2E" w:rsidRPr="00CB3440" w:rsidRDefault="009A7F2E" w:rsidP="009A7F2E">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There is no regulation on the use of bitcoin.  </w:t>
      </w:r>
    </w:p>
    <w:p w14:paraId="192ED963" w14:textId="3B710C8B" w:rsidR="005D3C0D" w:rsidRPr="00C152B6" w:rsidRDefault="00CD4E16" w:rsidP="009A7F2E">
      <w:pPr>
        <w:spacing w:before="0" w:after="0"/>
        <w:jc w:val="both"/>
        <w:rPr>
          <w:rFonts w:ascii="Times New Roman" w:hAnsi="Times New Roman"/>
          <w:color w:val="E62828"/>
          <w:sz w:val="24"/>
          <w:szCs w:val="24"/>
          <w:lang w:val="en-US"/>
        </w:rPr>
      </w:pPr>
      <w:r w:rsidRPr="00C152B6">
        <w:rPr>
          <w:rFonts w:ascii="Times New Roman" w:hAnsi="Times New Roman"/>
          <w:b/>
          <w:color w:val="E62828"/>
          <w:sz w:val="24"/>
          <w:szCs w:val="24"/>
          <w:u w:val="single"/>
          <w:lang w:val="en-US"/>
        </w:rPr>
        <w:t>OTC Market</w:t>
      </w:r>
    </w:p>
    <w:p w14:paraId="7AFB0B02" w14:textId="0BE235C1" w:rsidR="00CD4E16" w:rsidRDefault="00CD4E16" w:rsidP="009A7F2E">
      <w:pPr>
        <w:spacing w:before="0" w:after="0"/>
        <w:jc w:val="both"/>
        <w:rPr>
          <w:rFonts w:ascii="Times New Roman" w:hAnsi="Times New Roman"/>
          <w:sz w:val="24"/>
          <w:szCs w:val="24"/>
          <w:lang w:val="en-US"/>
        </w:rPr>
      </w:pPr>
    </w:p>
    <w:p w14:paraId="0034E17E" w14:textId="074BFEF6" w:rsidR="00CD4E16" w:rsidRDefault="000417C6" w:rsidP="009A7F2E">
      <w:pPr>
        <w:spacing w:before="0" w:after="0"/>
        <w:jc w:val="both"/>
        <w:rPr>
          <w:rFonts w:ascii="Times New Roman" w:hAnsi="Times New Roman"/>
          <w:sz w:val="24"/>
          <w:szCs w:val="24"/>
          <w:lang w:val="en-US"/>
        </w:rPr>
      </w:pPr>
      <w:r>
        <w:rPr>
          <w:rFonts w:ascii="Times New Roman" w:hAnsi="Times New Roman"/>
          <w:sz w:val="24"/>
          <w:szCs w:val="24"/>
          <w:lang w:val="en-US"/>
        </w:rPr>
        <w:t>Researched and detailed out the requirements for a company to enter an OTC market.</w:t>
      </w:r>
    </w:p>
    <w:p w14:paraId="0980C9A9" w14:textId="2CC504E7" w:rsidR="000417C6" w:rsidRDefault="000417C6" w:rsidP="009A7F2E">
      <w:pPr>
        <w:spacing w:before="0" w:after="0"/>
        <w:jc w:val="both"/>
        <w:rPr>
          <w:rFonts w:ascii="Times New Roman" w:hAnsi="Times New Roman"/>
          <w:sz w:val="24"/>
          <w:szCs w:val="24"/>
          <w:lang w:val="en-US"/>
        </w:rPr>
      </w:pPr>
    </w:p>
    <w:p w14:paraId="1D1B0A22" w14:textId="77777777" w:rsidR="000417C6" w:rsidRDefault="000417C6" w:rsidP="000417C6">
      <w:pPr>
        <w:spacing w:before="0" w:after="0"/>
        <w:jc w:val="both"/>
        <w:rPr>
          <w:rFonts w:ascii="Times New Roman" w:hAnsi="Times New Roman"/>
          <w:sz w:val="24"/>
          <w:szCs w:val="24"/>
          <w:lang w:val="en-US"/>
        </w:rPr>
      </w:pPr>
      <w:r>
        <w:rPr>
          <w:rFonts w:ascii="Times New Roman" w:hAnsi="Times New Roman"/>
          <w:sz w:val="24"/>
          <w:szCs w:val="24"/>
          <w:lang w:val="en-US"/>
        </w:rPr>
        <w:t>In general, the company can either be international or U.S. to enter an OTC market.</w:t>
      </w:r>
    </w:p>
    <w:p w14:paraId="31608C19" w14:textId="77777777" w:rsidR="000417C6" w:rsidRDefault="000417C6" w:rsidP="000417C6">
      <w:pPr>
        <w:spacing w:before="0" w:after="0"/>
        <w:ind w:left="426" w:firstLine="0"/>
        <w:jc w:val="both"/>
        <w:rPr>
          <w:rFonts w:ascii="Times New Roman" w:hAnsi="Times New Roman"/>
          <w:sz w:val="24"/>
          <w:szCs w:val="24"/>
          <w:lang w:val="en-US"/>
        </w:rPr>
      </w:pPr>
    </w:p>
    <w:p w14:paraId="5FEB7B70" w14:textId="77777777" w:rsidR="000417C6" w:rsidRDefault="000417C6" w:rsidP="000417C6">
      <w:pPr>
        <w:spacing w:before="0" w:after="0"/>
        <w:jc w:val="both"/>
        <w:rPr>
          <w:rFonts w:ascii="Times New Roman" w:hAnsi="Times New Roman"/>
          <w:sz w:val="24"/>
          <w:szCs w:val="24"/>
          <w:lang w:val="en-US"/>
        </w:rPr>
      </w:pPr>
      <w:r>
        <w:rPr>
          <w:rFonts w:ascii="Times New Roman" w:hAnsi="Times New Roman"/>
          <w:b/>
          <w:sz w:val="24"/>
          <w:szCs w:val="24"/>
          <w:lang w:val="en-US"/>
        </w:rPr>
        <w:t>Listing Requirements for Pink Sheets (OTC market that connects broker-dealers electronically)</w:t>
      </w:r>
    </w:p>
    <w:p w14:paraId="67EB6827" w14:textId="77777777" w:rsidR="000417C6" w:rsidRDefault="000417C6" w:rsidP="000417C6">
      <w:pPr>
        <w:spacing w:before="0" w:after="0"/>
        <w:ind w:left="426" w:firstLine="0"/>
        <w:jc w:val="both"/>
        <w:rPr>
          <w:rFonts w:ascii="Times New Roman" w:hAnsi="Times New Roman"/>
          <w:sz w:val="24"/>
          <w:szCs w:val="24"/>
          <w:lang w:val="en-US"/>
        </w:rPr>
      </w:pPr>
    </w:p>
    <w:p w14:paraId="4D0792A8" w14:textId="77777777" w:rsidR="000417C6" w:rsidRDefault="000417C6" w:rsidP="000417C6">
      <w:pPr>
        <w:spacing w:before="0" w:after="0"/>
        <w:jc w:val="both"/>
        <w:rPr>
          <w:rFonts w:ascii="Times New Roman" w:hAnsi="Times New Roman"/>
          <w:sz w:val="24"/>
          <w:szCs w:val="24"/>
          <w:lang w:val="en-US"/>
        </w:rPr>
      </w:pPr>
      <w:r>
        <w:rPr>
          <w:rFonts w:ascii="Times New Roman" w:hAnsi="Times New Roman"/>
          <w:sz w:val="24"/>
          <w:szCs w:val="24"/>
          <w:lang w:val="en-US"/>
        </w:rPr>
        <w:t xml:space="preserve">Companies have no requirements to be listed. All a company needs to do to get listed on the pink sheets is submit a form, entitled </w:t>
      </w:r>
      <w:r w:rsidRPr="006F7B91">
        <w:rPr>
          <w:rFonts w:ascii="Times New Roman" w:hAnsi="Times New Roman"/>
          <w:b/>
          <w:sz w:val="24"/>
          <w:szCs w:val="24"/>
          <w:u w:val="single"/>
          <w:lang w:val="en-US"/>
        </w:rPr>
        <w:t>Form 211</w:t>
      </w:r>
      <w:r>
        <w:rPr>
          <w:rFonts w:ascii="Times New Roman" w:hAnsi="Times New Roman"/>
          <w:sz w:val="24"/>
          <w:szCs w:val="24"/>
          <w:lang w:val="en-US"/>
        </w:rPr>
        <w:t xml:space="preserve">, with the OTC Compliance Unit. Usually this is done on behalf of a company by a </w:t>
      </w:r>
      <w:r w:rsidRPr="006F7B91">
        <w:rPr>
          <w:rFonts w:ascii="Times New Roman" w:hAnsi="Times New Roman"/>
          <w:b/>
          <w:sz w:val="24"/>
          <w:szCs w:val="24"/>
          <w:u w:val="single"/>
          <w:lang w:val="en-US"/>
        </w:rPr>
        <w:t>market maker</w:t>
      </w:r>
      <w:r>
        <w:rPr>
          <w:rFonts w:ascii="Times New Roman" w:hAnsi="Times New Roman"/>
          <w:sz w:val="24"/>
          <w:szCs w:val="24"/>
          <w:lang w:val="en-US"/>
        </w:rPr>
        <w:t xml:space="preserve">. The form must have current up-to-date financial information. The more willing a company is to show its books, the easier it is for a broker-dealer to quote a price for that company. </w:t>
      </w:r>
    </w:p>
    <w:p w14:paraId="369225DA" w14:textId="77777777" w:rsidR="000417C6" w:rsidRDefault="000417C6" w:rsidP="000417C6">
      <w:pPr>
        <w:spacing w:before="0" w:after="0"/>
        <w:ind w:left="426" w:firstLine="0"/>
        <w:jc w:val="both"/>
        <w:rPr>
          <w:rFonts w:ascii="Times New Roman" w:hAnsi="Times New Roman"/>
          <w:sz w:val="24"/>
          <w:szCs w:val="24"/>
          <w:lang w:val="en-US"/>
        </w:rPr>
      </w:pPr>
    </w:p>
    <w:p w14:paraId="1FC2E879" w14:textId="77777777" w:rsidR="000417C6" w:rsidRDefault="000417C6" w:rsidP="000417C6">
      <w:pPr>
        <w:spacing w:before="0" w:after="0"/>
        <w:jc w:val="both"/>
        <w:rPr>
          <w:rFonts w:ascii="Times New Roman" w:hAnsi="Times New Roman"/>
          <w:sz w:val="24"/>
          <w:szCs w:val="24"/>
          <w:lang w:val="en-US"/>
        </w:rPr>
      </w:pPr>
      <w:r>
        <w:rPr>
          <w:rFonts w:ascii="Times New Roman" w:hAnsi="Times New Roman"/>
          <w:sz w:val="24"/>
          <w:szCs w:val="24"/>
          <w:lang w:val="en-US"/>
        </w:rPr>
        <w:t xml:space="preserve">A market maker is a broker-dealer firm that assumes the risk of holding a certain number of shares of a </w:t>
      </w:r>
      <w:proofErr w:type="gramStart"/>
      <w:r>
        <w:rPr>
          <w:rFonts w:ascii="Times New Roman" w:hAnsi="Times New Roman"/>
          <w:sz w:val="24"/>
          <w:szCs w:val="24"/>
          <w:lang w:val="en-US"/>
        </w:rPr>
        <w:t>particular security</w:t>
      </w:r>
      <w:proofErr w:type="gramEnd"/>
      <w:r>
        <w:rPr>
          <w:rFonts w:ascii="Times New Roman" w:hAnsi="Times New Roman"/>
          <w:sz w:val="24"/>
          <w:szCs w:val="24"/>
          <w:lang w:val="en-US"/>
        </w:rPr>
        <w:t xml:space="preserve"> in order to facilitate that trading of the security. Market makers make a profit buy then establishing quotes whereby the bid price is set slightly lower than the listed prices and the ask price is set slightly higher </w:t>
      </w:r>
      <w:proofErr w:type="gramStart"/>
      <w:r>
        <w:rPr>
          <w:rFonts w:ascii="Times New Roman" w:hAnsi="Times New Roman"/>
          <w:sz w:val="24"/>
          <w:szCs w:val="24"/>
          <w:lang w:val="en-US"/>
        </w:rPr>
        <w:t>in order to</w:t>
      </w:r>
      <w:proofErr w:type="gramEnd"/>
      <w:r>
        <w:rPr>
          <w:rFonts w:ascii="Times New Roman" w:hAnsi="Times New Roman"/>
          <w:sz w:val="24"/>
          <w:szCs w:val="24"/>
          <w:lang w:val="en-US"/>
        </w:rPr>
        <w:t xml:space="preserve"> earn a small margin. They are compensated for the risk of holding asset, by charging a spread on each security that they cover.</w:t>
      </w:r>
    </w:p>
    <w:p w14:paraId="25A95D14" w14:textId="30DF49D4" w:rsidR="000417C6" w:rsidRDefault="000417C6" w:rsidP="000417C6">
      <w:pPr>
        <w:spacing w:before="0" w:after="0"/>
        <w:ind w:left="0" w:firstLine="0"/>
        <w:jc w:val="both"/>
        <w:rPr>
          <w:rFonts w:ascii="Times New Roman" w:hAnsi="Times New Roman"/>
          <w:sz w:val="24"/>
          <w:szCs w:val="24"/>
          <w:lang w:val="en-US"/>
        </w:rPr>
      </w:pPr>
      <w:bookmarkStart w:id="0" w:name="_GoBack"/>
      <w:bookmarkEnd w:id="0"/>
    </w:p>
    <w:p w14:paraId="6D648554" w14:textId="77777777" w:rsidR="000417C6" w:rsidRDefault="000417C6" w:rsidP="000417C6">
      <w:pPr>
        <w:spacing w:before="0" w:after="0"/>
        <w:jc w:val="both"/>
        <w:rPr>
          <w:rFonts w:ascii="Times New Roman" w:hAnsi="Times New Roman"/>
          <w:sz w:val="24"/>
          <w:szCs w:val="24"/>
          <w:lang w:val="en-US"/>
        </w:rPr>
      </w:pPr>
      <w:r>
        <w:rPr>
          <w:rFonts w:ascii="Times New Roman" w:hAnsi="Times New Roman"/>
          <w:b/>
          <w:sz w:val="24"/>
          <w:szCs w:val="24"/>
          <w:lang w:val="en-US"/>
        </w:rPr>
        <w:t>Form 211</w:t>
      </w:r>
    </w:p>
    <w:p w14:paraId="445BE924" w14:textId="77777777" w:rsidR="000417C6" w:rsidRDefault="000417C6" w:rsidP="000417C6">
      <w:pPr>
        <w:spacing w:before="0" w:after="0"/>
        <w:ind w:left="426" w:firstLine="0"/>
        <w:jc w:val="both"/>
        <w:rPr>
          <w:rFonts w:ascii="Times New Roman" w:hAnsi="Times New Roman"/>
          <w:sz w:val="24"/>
          <w:szCs w:val="24"/>
          <w:lang w:val="en-US"/>
        </w:rPr>
      </w:pPr>
    </w:p>
    <w:p w14:paraId="1D59E7B7" w14:textId="150BED36" w:rsidR="000417C6" w:rsidRPr="003F13BD" w:rsidRDefault="000417C6" w:rsidP="000417C6">
      <w:pPr>
        <w:spacing w:before="0" w:after="0"/>
        <w:jc w:val="both"/>
        <w:rPr>
          <w:rFonts w:ascii="Times New Roman" w:hAnsi="Times New Roman"/>
          <w:sz w:val="24"/>
          <w:szCs w:val="24"/>
          <w:lang w:val="en-US"/>
        </w:rPr>
      </w:pPr>
      <w:r>
        <w:rPr>
          <w:rFonts w:ascii="Times New Roman" w:hAnsi="Times New Roman"/>
          <w:sz w:val="24"/>
          <w:szCs w:val="24"/>
          <w:lang w:val="en-US"/>
        </w:rPr>
        <w:t>Must be completed by a market maker and filed with the Financial Industry Regulatory Authority (FINRA) to initiate or resume quotations for a security on the OTC Bulletin, OTC Markets, or any similar quotation medium. Supplementary information (including identity of persons for whom quotation is being submitted, issuer trading suspensions within past 12 months, etc.), OTCBB quotation request only section, and certification (signature by the firm employee who can be contacted about information regarding the form).</w:t>
      </w:r>
    </w:p>
    <w:sectPr w:rsidR="000417C6" w:rsidRPr="003F13BD" w:rsidSect="003504B0">
      <w:headerReference w:type="even" r:id="rId13"/>
      <w:headerReference w:type="default" r:id="rId14"/>
      <w:footerReference w:type="default" r:id="rId15"/>
      <w:headerReference w:type="first" r:id="rId16"/>
      <w:pgSz w:w="11900" w:h="16820"/>
      <w:pgMar w:top="2268" w:right="851" w:bottom="170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3AE3" w14:textId="77777777" w:rsidR="00D626EF" w:rsidRDefault="00D626EF" w:rsidP="002549FD">
      <w:r>
        <w:separator/>
      </w:r>
    </w:p>
  </w:endnote>
  <w:endnote w:type="continuationSeparator" w:id="0">
    <w:p w14:paraId="7D903489" w14:textId="77777777" w:rsidR="00D626EF" w:rsidRDefault="00D626EF" w:rsidP="0025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page" w:tblpX="1369" w:tblpY="14401"/>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574"/>
      <w:gridCol w:w="2496"/>
      <w:gridCol w:w="2434"/>
    </w:tblGrid>
    <w:tr w:rsidR="00B65D5F" w:rsidRPr="00B65D5F" w14:paraId="7AB4C5F9" w14:textId="77777777" w:rsidTr="00B65D5F">
      <w:trPr>
        <w:trHeight w:val="331"/>
      </w:trPr>
      <w:tc>
        <w:tcPr>
          <w:tcW w:w="2574" w:type="dxa"/>
        </w:tcPr>
        <w:p w14:paraId="1AA08320" w14:textId="77777777" w:rsidR="00B65D5F" w:rsidRPr="007C06D9" w:rsidRDefault="00B65D5F" w:rsidP="00B65D5F">
          <w:pPr>
            <w:pStyle w:val="Footer"/>
            <w:tabs>
              <w:tab w:val="left" w:pos="1780"/>
            </w:tabs>
            <w:contextualSpacing/>
            <w:rPr>
              <w:rFonts w:ascii="Avenir Book" w:hAnsi="Avenir Book" w:cs="Arial"/>
              <w:b/>
              <w:color w:val="595959" w:themeColor="text1" w:themeTint="A6"/>
              <w:sz w:val="16"/>
              <w:szCs w:val="16"/>
            </w:rPr>
          </w:pPr>
          <w:r w:rsidRPr="007C06D9">
            <w:rPr>
              <w:rFonts w:ascii="Avenir Book" w:hAnsi="Avenir Book" w:cs="Arial"/>
              <w:b/>
              <w:color w:val="595959" w:themeColor="text1" w:themeTint="A6"/>
              <w:sz w:val="16"/>
              <w:szCs w:val="16"/>
            </w:rPr>
            <w:t>ZENRON US</w:t>
          </w:r>
        </w:p>
        <w:p w14:paraId="1AD31474"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 xml:space="preserve">16192 Coastal </w:t>
          </w:r>
          <w:proofErr w:type="spellStart"/>
          <w:r w:rsidRPr="00B65D5F">
            <w:rPr>
              <w:rFonts w:ascii="Avenir Book" w:hAnsi="Avenir Book" w:cs="Arial"/>
              <w:color w:val="595959" w:themeColor="text1" w:themeTint="A6"/>
              <w:sz w:val="16"/>
              <w:szCs w:val="16"/>
            </w:rPr>
            <w:t>Higway</w:t>
          </w:r>
          <w:proofErr w:type="spellEnd"/>
          <w:r w:rsidRPr="00B65D5F">
            <w:rPr>
              <w:rFonts w:ascii="Avenir Book" w:hAnsi="Avenir Book" w:cs="Arial"/>
              <w:color w:val="595959" w:themeColor="text1" w:themeTint="A6"/>
              <w:sz w:val="16"/>
              <w:szCs w:val="16"/>
            </w:rPr>
            <w:t xml:space="preserve">, </w:t>
          </w:r>
        </w:p>
        <w:p w14:paraId="2EC477F7" w14:textId="77777777" w:rsidR="00B65D5F" w:rsidRDefault="00B65D5F" w:rsidP="00B65D5F">
          <w:pPr>
            <w:pStyle w:val="Footer"/>
            <w:tabs>
              <w:tab w:val="left" w:pos="1780"/>
            </w:tabs>
            <w:contextualSpacing/>
            <w:rPr>
              <w:rFonts w:ascii="Times New Roman" w:hAnsi="Times New Roman"/>
              <w:color w:val="595959" w:themeColor="text1" w:themeTint="A6"/>
              <w:sz w:val="16"/>
              <w:szCs w:val="16"/>
            </w:rPr>
          </w:pPr>
          <w:r w:rsidRPr="00B65D5F">
            <w:rPr>
              <w:rFonts w:ascii="Avenir Book" w:hAnsi="Avenir Book" w:cs="Arial"/>
              <w:color w:val="595959" w:themeColor="text1" w:themeTint="A6"/>
              <w:sz w:val="16"/>
              <w:szCs w:val="16"/>
            </w:rPr>
            <w:t>Lewes, Delaware 19958 US</w:t>
          </w:r>
        </w:p>
        <w:p w14:paraId="7EF13371" w14:textId="064F6087" w:rsidR="007C06D9" w:rsidRPr="007C06D9" w:rsidRDefault="007C06D9" w:rsidP="00B65D5F">
          <w:pPr>
            <w:pStyle w:val="Footer"/>
            <w:tabs>
              <w:tab w:val="left" w:pos="1780"/>
            </w:tabs>
            <w:contextualSpacing/>
            <w:rPr>
              <w:rFonts w:ascii="Times New Roman" w:hAnsi="Times New Roman"/>
              <w:color w:val="595959" w:themeColor="text1" w:themeTint="A6"/>
              <w:sz w:val="16"/>
              <w:szCs w:val="16"/>
            </w:rPr>
          </w:pPr>
          <w:r>
            <w:rPr>
              <w:rFonts w:ascii="Times New Roman" w:hAnsi="Times New Roman"/>
              <w:color w:val="595959" w:themeColor="text1" w:themeTint="A6"/>
              <w:sz w:val="16"/>
              <w:szCs w:val="16"/>
            </w:rPr>
            <w:t>Phone: +1 302 613 1030</w:t>
          </w:r>
        </w:p>
        <w:p w14:paraId="423AFFB2"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email:info@zenron.org</w:t>
          </w:r>
        </w:p>
        <w:p w14:paraId="6C7015A5" w14:textId="77777777" w:rsidR="00B65D5F" w:rsidRPr="00B65D5F" w:rsidRDefault="00B65D5F" w:rsidP="00B65D5F">
          <w:pPr>
            <w:pStyle w:val="Footer"/>
            <w:tabs>
              <w:tab w:val="clear" w:pos="4320"/>
              <w:tab w:val="clear" w:pos="8640"/>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www.zenron.org</w:t>
          </w:r>
        </w:p>
      </w:tc>
      <w:tc>
        <w:tcPr>
          <w:tcW w:w="2574" w:type="dxa"/>
        </w:tcPr>
        <w:p w14:paraId="22FB4DCF" w14:textId="77777777" w:rsidR="00B65D5F" w:rsidRPr="007C06D9" w:rsidRDefault="00B65D5F" w:rsidP="00B65D5F">
          <w:pPr>
            <w:pStyle w:val="Footer"/>
            <w:tabs>
              <w:tab w:val="left" w:pos="1780"/>
            </w:tabs>
            <w:contextualSpacing/>
            <w:rPr>
              <w:rFonts w:ascii="Avenir Book" w:hAnsi="Avenir Book" w:cs="Arial"/>
              <w:b/>
              <w:color w:val="595959" w:themeColor="text1" w:themeTint="A6"/>
              <w:sz w:val="16"/>
              <w:szCs w:val="16"/>
            </w:rPr>
          </w:pPr>
          <w:r w:rsidRPr="007C06D9">
            <w:rPr>
              <w:rFonts w:ascii="Avenir Book" w:hAnsi="Avenir Book" w:cs="Arial"/>
              <w:b/>
              <w:color w:val="595959" w:themeColor="text1" w:themeTint="A6"/>
              <w:sz w:val="16"/>
              <w:szCs w:val="16"/>
            </w:rPr>
            <w:t>ZENRON UK</w:t>
          </w:r>
        </w:p>
        <w:p w14:paraId="1DE4C336"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7 Whitechapel Road</w:t>
          </w:r>
        </w:p>
        <w:p w14:paraId="6C21AD41"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 xml:space="preserve">Office 406 </w:t>
          </w:r>
        </w:p>
        <w:p w14:paraId="27CC2B81" w14:textId="3809E115" w:rsidR="00B65D5F" w:rsidRPr="007C06D9" w:rsidRDefault="00B65D5F" w:rsidP="00B65D5F">
          <w:pPr>
            <w:pStyle w:val="Footer"/>
            <w:tabs>
              <w:tab w:val="left" w:pos="1780"/>
            </w:tabs>
            <w:contextualSpacing/>
            <w:rPr>
              <w:rFonts w:ascii="Times New Roman" w:hAnsi="Times New Roman"/>
              <w:color w:val="595959" w:themeColor="text1" w:themeTint="A6"/>
              <w:sz w:val="16"/>
              <w:szCs w:val="16"/>
            </w:rPr>
          </w:pPr>
          <w:r w:rsidRPr="00B65D5F">
            <w:rPr>
              <w:rFonts w:ascii="Avenir Book" w:hAnsi="Avenir Book" w:cs="Arial"/>
              <w:color w:val="595959" w:themeColor="text1" w:themeTint="A6"/>
              <w:sz w:val="16"/>
              <w:szCs w:val="16"/>
            </w:rPr>
            <w:t>London</w:t>
          </w:r>
          <w:r w:rsidR="007C06D9">
            <w:rPr>
              <w:rFonts w:ascii="Avenir Book" w:hAnsi="Avenir Book" w:cs="Arial"/>
              <w:color w:val="595959" w:themeColor="text1" w:themeTint="A6"/>
              <w:sz w:val="16"/>
              <w:szCs w:val="16"/>
            </w:rPr>
            <w:t xml:space="preserve"> </w:t>
          </w:r>
          <w:r w:rsidRPr="00B65D5F">
            <w:rPr>
              <w:rFonts w:ascii="Avenir Book" w:hAnsi="Avenir Book" w:cs="Arial"/>
              <w:color w:val="595959" w:themeColor="text1" w:themeTint="A6"/>
              <w:sz w:val="16"/>
              <w:szCs w:val="16"/>
            </w:rPr>
            <w:t xml:space="preserve">E1 1DU </w:t>
          </w:r>
          <w:r w:rsidR="007C06D9">
            <w:rPr>
              <w:rFonts w:ascii="Times New Roman" w:hAnsi="Times New Roman"/>
              <w:color w:val="595959" w:themeColor="text1" w:themeTint="A6"/>
              <w:sz w:val="16"/>
              <w:szCs w:val="16"/>
            </w:rPr>
            <w:t xml:space="preserve">, </w:t>
          </w:r>
          <w:r w:rsidR="007C06D9" w:rsidRPr="007C06D9">
            <w:rPr>
              <w:rFonts w:ascii="Avenir Book" w:hAnsi="Avenir Book"/>
              <w:color w:val="595959" w:themeColor="text1" w:themeTint="A6"/>
              <w:sz w:val="16"/>
              <w:szCs w:val="16"/>
            </w:rPr>
            <w:t xml:space="preserve"> </w:t>
          </w:r>
          <w:r w:rsidR="007C06D9">
            <w:rPr>
              <w:rFonts w:ascii="Avenir Book" w:hAnsi="Avenir Book"/>
              <w:color w:val="595959" w:themeColor="text1" w:themeTint="A6"/>
              <w:sz w:val="16"/>
              <w:szCs w:val="16"/>
            </w:rPr>
            <w:t>UK</w:t>
          </w:r>
        </w:p>
        <w:p w14:paraId="5EADB426"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Phone: +44 (0) 20 8123 8797</w:t>
          </w:r>
        </w:p>
        <w:p w14:paraId="48E5102A"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email:info@zenron.org</w:t>
          </w:r>
        </w:p>
        <w:p w14:paraId="16A9E67D" w14:textId="77777777" w:rsidR="00B65D5F" w:rsidRPr="00B65D5F" w:rsidRDefault="00B65D5F" w:rsidP="00B65D5F">
          <w:pPr>
            <w:pStyle w:val="Footer"/>
            <w:tabs>
              <w:tab w:val="clear" w:pos="4320"/>
              <w:tab w:val="clear" w:pos="8640"/>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www.zenron.org</w:t>
          </w:r>
        </w:p>
      </w:tc>
      <w:tc>
        <w:tcPr>
          <w:tcW w:w="2496" w:type="dxa"/>
        </w:tcPr>
        <w:p w14:paraId="0EFC0AFA" w14:textId="77777777" w:rsidR="00B65D5F" w:rsidRPr="007C06D9" w:rsidRDefault="00B65D5F" w:rsidP="00B65D5F">
          <w:pPr>
            <w:pStyle w:val="Footer"/>
            <w:tabs>
              <w:tab w:val="left" w:pos="1780"/>
            </w:tabs>
            <w:contextualSpacing/>
            <w:rPr>
              <w:rFonts w:ascii="Avenir Book" w:hAnsi="Avenir Book" w:cs="Arial"/>
              <w:b/>
              <w:color w:val="595959" w:themeColor="text1" w:themeTint="A6"/>
              <w:sz w:val="16"/>
              <w:szCs w:val="16"/>
            </w:rPr>
          </w:pPr>
          <w:r w:rsidRPr="007C06D9">
            <w:rPr>
              <w:rFonts w:ascii="Avenir Book" w:hAnsi="Avenir Book" w:cs="Arial"/>
              <w:b/>
              <w:color w:val="595959" w:themeColor="text1" w:themeTint="A6"/>
              <w:sz w:val="16"/>
              <w:szCs w:val="16"/>
            </w:rPr>
            <w:t xml:space="preserve">ZENRON EU </w:t>
          </w:r>
        </w:p>
        <w:p w14:paraId="763DC9D2"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Jindřišská 901/5</w:t>
          </w:r>
        </w:p>
        <w:p w14:paraId="3B74758D" w14:textId="3F83E1F5" w:rsidR="00B65D5F" w:rsidRPr="007C06D9" w:rsidRDefault="00B65D5F" w:rsidP="00B65D5F">
          <w:pPr>
            <w:pStyle w:val="Footer"/>
            <w:tabs>
              <w:tab w:val="left" w:pos="1780"/>
            </w:tabs>
            <w:contextualSpacing/>
            <w:rPr>
              <w:rFonts w:ascii="Times New Roman" w:hAnsi="Times New Roman"/>
              <w:color w:val="595959" w:themeColor="text1" w:themeTint="A6"/>
              <w:sz w:val="16"/>
              <w:szCs w:val="16"/>
            </w:rPr>
          </w:pPr>
          <w:r w:rsidRPr="00B65D5F">
            <w:rPr>
              <w:rFonts w:ascii="Avenir Book" w:hAnsi="Avenir Book" w:cs="Arial"/>
              <w:color w:val="595959" w:themeColor="text1" w:themeTint="A6"/>
              <w:sz w:val="16"/>
              <w:szCs w:val="16"/>
            </w:rPr>
            <w:t>110 00 Praha 1</w:t>
          </w:r>
          <w:r w:rsidR="007C06D9">
            <w:rPr>
              <w:rFonts w:ascii="Times New Roman" w:hAnsi="Times New Roman"/>
              <w:color w:val="595959" w:themeColor="text1" w:themeTint="A6"/>
              <w:sz w:val="16"/>
              <w:szCs w:val="16"/>
            </w:rPr>
            <w:t xml:space="preserve">, </w:t>
          </w:r>
          <w:r w:rsidR="007C06D9" w:rsidRPr="007C06D9">
            <w:rPr>
              <w:rFonts w:ascii="Avenir Book" w:hAnsi="Avenir Book"/>
              <w:color w:val="595959" w:themeColor="text1" w:themeTint="A6"/>
              <w:sz w:val="16"/>
              <w:szCs w:val="16"/>
            </w:rPr>
            <w:t>CZ</w:t>
          </w:r>
        </w:p>
        <w:p w14:paraId="7DCE6A3A"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Phone: +420 222 703 205</w:t>
          </w:r>
        </w:p>
        <w:p w14:paraId="72CE2243" w14:textId="77777777" w:rsidR="00B65D5F" w:rsidRPr="00B65D5F" w:rsidRDefault="00B65D5F" w:rsidP="00B65D5F">
          <w:pPr>
            <w:pStyle w:val="Footer"/>
            <w:tabs>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email:info@zenron.cz</w:t>
          </w:r>
        </w:p>
        <w:p w14:paraId="69055375" w14:textId="77777777" w:rsidR="00B65D5F" w:rsidRPr="00B65D5F" w:rsidRDefault="00B65D5F" w:rsidP="00B65D5F">
          <w:pPr>
            <w:pStyle w:val="Footer"/>
            <w:tabs>
              <w:tab w:val="clear" w:pos="4320"/>
              <w:tab w:val="clear" w:pos="8640"/>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www.zenron.cz</w:t>
          </w:r>
        </w:p>
      </w:tc>
      <w:tc>
        <w:tcPr>
          <w:tcW w:w="2434" w:type="dxa"/>
        </w:tcPr>
        <w:p w14:paraId="0C5F97BC" w14:textId="77777777" w:rsidR="00B65D5F" w:rsidRPr="007C06D9" w:rsidRDefault="00B65D5F" w:rsidP="00B65D5F">
          <w:pPr>
            <w:pStyle w:val="Footer"/>
            <w:tabs>
              <w:tab w:val="left" w:pos="1780"/>
            </w:tabs>
            <w:contextualSpacing/>
            <w:rPr>
              <w:rFonts w:ascii="Avenir Book" w:hAnsi="Avenir Book" w:cs="Arial"/>
              <w:b/>
              <w:color w:val="595959" w:themeColor="text1" w:themeTint="A6"/>
              <w:sz w:val="16"/>
              <w:szCs w:val="16"/>
            </w:rPr>
          </w:pPr>
          <w:r w:rsidRPr="007C06D9">
            <w:rPr>
              <w:rFonts w:ascii="Avenir Book" w:hAnsi="Avenir Book" w:cs="Arial"/>
              <w:b/>
              <w:color w:val="595959" w:themeColor="text1" w:themeTint="A6"/>
              <w:sz w:val="16"/>
              <w:szCs w:val="16"/>
            </w:rPr>
            <w:t>ZENRON RU</w:t>
          </w:r>
        </w:p>
        <w:p w14:paraId="4A4CADCF" w14:textId="77777777" w:rsidR="00B65D5F" w:rsidRPr="00B65D5F" w:rsidRDefault="00B65D5F" w:rsidP="00B65D5F">
          <w:pPr>
            <w:pStyle w:val="Footer"/>
            <w:tabs>
              <w:tab w:val="clear" w:pos="4320"/>
              <w:tab w:val="clear" w:pos="8640"/>
              <w:tab w:val="left" w:pos="1780"/>
            </w:tabs>
            <w:contextualSpacing/>
            <w:rPr>
              <w:rFonts w:ascii="Avenir Book" w:hAnsi="Avenir Book" w:cs="Arial"/>
              <w:color w:val="595959" w:themeColor="text1" w:themeTint="A6"/>
              <w:sz w:val="16"/>
              <w:szCs w:val="16"/>
            </w:rPr>
          </w:pPr>
          <w:r w:rsidRPr="00B65D5F">
            <w:rPr>
              <w:rFonts w:ascii="Avenir Book" w:hAnsi="Avenir Book" w:cs="Arial"/>
              <w:color w:val="595959" w:themeColor="text1" w:themeTint="A6"/>
              <w:sz w:val="16"/>
              <w:szCs w:val="16"/>
            </w:rPr>
            <w:t>www.zenron.ru</w:t>
          </w:r>
        </w:p>
      </w:tc>
    </w:tr>
  </w:tbl>
  <w:p w14:paraId="041BD141" w14:textId="77777777" w:rsidR="00B65D5F" w:rsidRDefault="00B65D5F" w:rsidP="00B65D5F">
    <w:pPr>
      <w:pStyle w:val="Footer"/>
      <w:tabs>
        <w:tab w:val="clear" w:pos="4320"/>
        <w:tab w:val="clear" w:pos="8640"/>
        <w:tab w:val="left" w:pos="1780"/>
      </w:tabs>
    </w:pPr>
    <w:r>
      <w:tab/>
    </w:r>
  </w:p>
  <w:p w14:paraId="3A375E64" w14:textId="77777777" w:rsidR="002549FD" w:rsidRDefault="002549FD" w:rsidP="00B65D5F">
    <w:pPr>
      <w:pStyle w:val="Footer"/>
      <w:tabs>
        <w:tab w:val="clear" w:pos="4320"/>
        <w:tab w:val="clear" w:pos="8640"/>
        <w:tab w:val="left" w:pos="1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DD2F" w14:textId="77777777" w:rsidR="00D626EF" w:rsidRDefault="00D626EF" w:rsidP="002549FD">
      <w:r>
        <w:separator/>
      </w:r>
    </w:p>
  </w:footnote>
  <w:footnote w:type="continuationSeparator" w:id="0">
    <w:p w14:paraId="1CBD1FB1" w14:textId="77777777" w:rsidR="00D626EF" w:rsidRDefault="00D626EF" w:rsidP="0025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C305" w14:textId="77777777" w:rsidR="002549FD" w:rsidRDefault="000417C6">
    <w:pPr>
      <w:pStyle w:val="Header"/>
    </w:pPr>
    <w:r>
      <w:rPr>
        <w:noProof/>
      </w:rPr>
      <w:pict w14:anchorId="46386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left:0;text-align:left;margin-left:0;margin-top:0;width:595.2pt;height:841.9pt;z-index:-251657216;mso-wrap-edited:f;mso-position-horizontal:center;mso-position-horizontal-relative:margin;mso-position-vertical:center;mso-position-vertical-relative:margin" wrapcoords="-27 0 -27 21561 21600 21561 21600 0 -27 0">
          <v:imagedata r:id="rId1" o:title="jane_o_letterhead2_E01_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F635" w14:textId="77777777" w:rsidR="002549FD" w:rsidRDefault="000417C6">
    <w:pPr>
      <w:pStyle w:val="Header"/>
    </w:pPr>
    <w:r>
      <w:rPr>
        <w:noProof/>
      </w:rPr>
      <w:pict w14:anchorId="7D403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87.6pt;margin-top:-111.4pt;width:595.2pt;height:841.9pt;z-index:-251658240;mso-wrap-edited:f;mso-position-horizontal-relative:margin;mso-position-vertical-relative:margin" wrapcoords="-27 0 -27 21561 21600 21561 21600 0 -27 0">
          <v:imagedata r:id="rId1" o:title="jane_o_letterhead2_E01_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0F7F" w14:textId="77777777" w:rsidR="002549FD" w:rsidRDefault="000417C6">
    <w:pPr>
      <w:pStyle w:val="Header"/>
    </w:pPr>
    <w:r>
      <w:rPr>
        <w:noProof/>
      </w:rPr>
      <w:pict w14:anchorId="23E66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1" o:title="jane_o_letterhead2_E01_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1F9"/>
    <w:multiLevelType w:val="hybridMultilevel"/>
    <w:tmpl w:val="81B46C0A"/>
    <w:lvl w:ilvl="0" w:tplc="C5E43AC8">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71B49"/>
    <w:multiLevelType w:val="hybridMultilevel"/>
    <w:tmpl w:val="81B46C0A"/>
    <w:lvl w:ilvl="0" w:tplc="C5E43AC8">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40E29A5"/>
    <w:multiLevelType w:val="hybridMultilevel"/>
    <w:tmpl w:val="7478AD30"/>
    <w:lvl w:ilvl="0" w:tplc="B5CCDA84">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372F43FF"/>
    <w:multiLevelType w:val="multilevel"/>
    <w:tmpl w:val="7BDE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22A64"/>
    <w:multiLevelType w:val="multilevel"/>
    <w:tmpl w:val="F26E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7B2F2F"/>
    <w:multiLevelType w:val="hybridMultilevel"/>
    <w:tmpl w:val="81B46C0A"/>
    <w:lvl w:ilvl="0" w:tplc="C5E43AC8">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BF1025B"/>
    <w:multiLevelType w:val="multilevel"/>
    <w:tmpl w:val="07B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C7479"/>
    <w:multiLevelType w:val="hybridMultilevel"/>
    <w:tmpl w:val="81B46C0A"/>
    <w:lvl w:ilvl="0" w:tplc="C5E43AC8">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08976B9"/>
    <w:multiLevelType w:val="hybridMultilevel"/>
    <w:tmpl w:val="AD88E18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799D5DB4"/>
    <w:multiLevelType w:val="multilevel"/>
    <w:tmpl w:val="1DC4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5"/>
  </w:num>
  <w:num w:numId="6">
    <w:abstractNumId w:val="0"/>
  </w:num>
  <w:num w:numId="7">
    <w:abstractNumId w:val="9"/>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FD"/>
    <w:rsid w:val="00035477"/>
    <w:rsid w:val="000417C6"/>
    <w:rsid w:val="000A08FA"/>
    <w:rsid w:val="000A199B"/>
    <w:rsid w:val="000B6650"/>
    <w:rsid w:val="000C3A05"/>
    <w:rsid w:val="000C61C2"/>
    <w:rsid w:val="000F1952"/>
    <w:rsid w:val="000F304F"/>
    <w:rsid w:val="00123292"/>
    <w:rsid w:val="0016081D"/>
    <w:rsid w:val="00176905"/>
    <w:rsid w:val="002148A3"/>
    <w:rsid w:val="002216EE"/>
    <w:rsid w:val="0022739E"/>
    <w:rsid w:val="002338DB"/>
    <w:rsid w:val="002549FD"/>
    <w:rsid w:val="002935CC"/>
    <w:rsid w:val="002E78C0"/>
    <w:rsid w:val="00347B89"/>
    <w:rsid w:val="003504B0"/>
    <w:rsid w:val="003A1A9F"/>
    <w:rsid w:val="003B4C85"/>
    <w:rsid w:val="003F13BD"/>
    <w:rsid w:val="004262D5"/>
    <w:rsid w:val="00427EE5"/>
    <w:rsid w:val="0047369A"/>
    <w:rsid w:val="004B0DE2"/>
    <w:rsid w:val="004C3146"/>
    <w:rsid w:val="00503A0D"/>
    <w:rsid w:val="00507304"/>
    <w:rsid w:val="005366FA"/>
    <w:rsid w:val="00575067"/>
    <w:rsid w:val="00583FA9"/>
    <w:rsid w:val="005C381C"/>
    <w:rsid w:val="005D3C0D"/>
    <w:rsid w:val="005F6941"/>
    <w:rsid w:val="006A1478"/>
    <w:rsid w:val="006F33EF"/>
    <w:rsid w:val="00715E71"/>
    <w:rsid w:val="00724E67"/>
    <w:rsid w:val="00750C41"/>
    <w:rsid w:val="00756559"/>
    <w:rsid w:val="00766B4C"/>
    <w:rsid w:val="007C06D9"/>
    <w:rsid w:val="007F4935"/>
    <w:rsid w:val="00852AFD"/>
    <w:rsid w:val="008723FB"/>
    <w:rsid w:val="0087630A"/>
    <w:rsid w:val="008A7318"/>
    <w:rsid w:val="009032BF"/>
    <w:rsid w:val="00955AAA"/>
    <w:rsid w:val="00995114"/>
    <w:rsid w:val="0099730C"/>
    <w:rsid w:val="009A7F2E"/>
    <w:rsid w:val="009B23EC"/>
    <w:rsid w:val="00A16B87"/>
    <w:rsid w:val="00A26D11"/>
    <w:rsid w:val="00A35529"/>
    <w:rsid w:val="00A358FF"/>
    <w:rsid w:val="00AE6788"/>
    <w:rsid w:val="00B65D5F"/>
    <w:rsid w:val="00B7659A"/>
    <w:rsid w:val="00BB64DA"/>
    <w:rsid w:val="00BE3102"/>
    <w:rsid w:val="00C152B6"/>
    <w:rsid w:val="00C15B2B"/>
    <w:rsid w:val="00C744C4"/>
    <w:rsid w:val="00C82E7A"/>
    <w:rsid w:val="00CD4E16"/>
    <w:rsid w:val="00CE7CEC"/>
    <w:rsid w:val="00D0451B"/>
    <w:rsid w:val="00D11A8F"/>
    <w:rsid w:val="00D626EF"/>
    <w:rsid w:val="00D865C6"/>
    <w:rsid w:val="00DD600C"/>
    <w:rsid w:val="00EA5D16"/>
    <w:rsid w:val="00F0457A"/>
    <w:rsid w:val="00F45B8B"/>
    <w:rsid w:val="00FB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417EFE8"/>
  <w14:defaultImageDpi w14:val="300"/>
  <w15:docId w15:val="{00EBF460-408B-48D7-BC48-0BE22EDE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4C4"/>
    <w:pPr>
      <w:spacing w:before="120" w:after="120"/>
      <w:ind w:left="714" w:hanging="357"/>
    </w:pPr>
    <w:rPr>
      <w:rFonts w:ascii="Garamond" w:eastAsia="Calibri" w:hAnsi="Garamond" w:cs="Times New Roman"/>
      <w:sz w:val="22"/>
      <w:szCs w:val="22"/>
      <w:lang w:val="cs-CZ"/>
    </w:rPr>
  </w:style>
  <w:style w:type="paragraph" w:styleId="Heading2">
    <w:name w:val="heading 2"/>
    <w:basedOn w:val="Normal"/>
    <w:next w:val="Normal"/>
    <w:link w:val="Heading2Char"/>
    <w:uiPriority w:val="9"/>
    <w:semiHidden/>
    <w:unhideWhenUsed/>
    <w:qFormat/>
    <w:rsid w:val="00715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081D"/>
    <w:pPr>
      <w:spacing w:before="100" w:beforeAutospacing="1" w:after="100" w:afterAutospacing="1"/>
      <w:ind w:left="0" w:firstLine="0"/>
      <w:outlineLvl w:val="2"/>
    </w:pPr>
    <w:rPr>
      <w:rFonts w:ascii="Times New Roman" w:eastAsiaTheme="minorEastAsia" w:hAnsi="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FD"/>
    <w:pPr>
      <w:tabs>
        <w:tab w:val="center" w:pos="4320"/>
        <w:tab w:val="right" w:pos="8640"/>
      </w:tabs>
    </w:pPr>
  </w:style>
  <w:style w:type="character" w:customStyle="1" w:styleId="HeaderChar">
    <w:name w:val="Header Char"/>
    <w:basedOn w:val="DefaultParagraphFont"/>
    <w:link w:val="Header"/>
    <w:uiPriority w:val="99"/>
    <w:rsid w:val="002549FD"/>
  </w:style>
  <w:style w:type="paragraph" w:styleId="Footer">
    <w:name w:val="footer"/>
    <w:basedOn w:val="Normal"/>
    <w:link w:val="FooterChar"/>
    <w:uiPriority w:val="99"/>
    <w:unhideWhenUsed/>
    <w:rsid w:val="002549FD"/>
    <w:pPr>
      <w:tabs>
        <w:tab w:val="center" w:pos="4320"/>
        <w:tab w:val="right" w:pos="8640"/>
      </w:tabs>
    </w:pPr>
  </w:style>
  <w:style w:type="character" w:customStyle="1" w:styleId="FooterChar">
    <w:name w:val="Footer Char"/>
    <w:basedOn w:val="DefaultParagraphFont"/>
    <w:link w:val="Footer"/>
    <w:uiPriority w:val="99"/>
    <w:rsid w:val="002549FD"/>
  </w:style>
  <w:style w:type="table" w:styleId="TableGrid">
    <w:name w:val="Table Grid"/>
    <w:basedOn w:val="TableNormal"/>
    <w:uiPriority w:val="59"/>
    <w:rsid w:val="00B6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2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D5"/>
    <w:rPr>
      <w:rFonts w:ascii="Segoe UI" w:eastAsia="Calibri" w:hAnsi="Segoe UI" w:cs="Segoe UI"/>
      <w:sz w:val="18"/>
      <w:szCs w:val="18"/>
      <w:lang w:val="cs-CZ"/>
    </w:rPr>
  </w:style>
  <w:style w:type="character" w:customStyle="1" w:styleId="Heading3Char">
    <w:name w:val="Heading 3 Char"/>
    <w:basedOn w:val="DefaultParagraphFont"/>
    <w:link w:val="Heading3"/>
    <w:uiPriority w:val="9"/>
    <w:rsid w:val="0016081D"/>
    <w:rPr>
      <w:rFonts w:ascii="Times New Roman" w:hAnsi="Times New Roman" w:cs="Times New Roman"/>
      <w:b/>
      <w:bCs/>
      <w:sz w:val="27"/>
      <w:szCs w:val="27"/>
      <w:lang w:val="cs-CZ" w:eastAsia="cs-CZ"/>
    </w:rPr>
  </w:style>
  <w:style w:type="paragraph" w:customStyle="1" w:styleId="definition">
    <w:name w:val="definition"/>
    <w:basedOn w:val="Normal"/>
    <w:rsid w:val="0016081D"/>
    <w:pPr>
      <w:spacing w:before="100" w:beforeAutospacing="1" w:after="100" w:afterAutospacing="1"/>
      <w:ind w:left="0" w:firstLine="0"/>
    </w:pPr>
    <w:rPr>
      <w:rFonts w:ascii="Times New Roman" w:eastAsiaTheme="minorEastAsia" w:hAnsi="Times New Roman"/>
      <w:sz w:val="24"/>
      <w:szCs w:val="24"/>
      <w:lang w:eastAsia="cs-CZ"/>
    </w:rPr>
  </w:style>
  <w:style w:type="character" w:customStyle="1" w:styleId="bold">
    <w:name w:val="bold"/>
    <w:rsid w:val="0016081D"/>
  </w:style>
  <w:style w:type="character" w:customStyle="1" w:styleId="description">
    <w:name w:val="description"/>
    <w:rsid w:val="0016081D"/>
  </w:style>
  <w:style w:type="paragraph" w:customStyle="1" w:styleId="paragraph">
    <w:name w:val="paragraph"/>
    <w:basedOn w:val="Normal"/>
    <w:rsid w:val="0016081D"/>
    <w:pPr>
      <w:spacing w:before="100" w:beforeAutospacing="1" w:after="100" w:afterAutospacing="1"/>
      <w:ind w:left="0" w:firstLine="0"/>
    </w:pPr>
    <w:rPr>
      <w:rFonts w:ascii="Times New Roman" w:eastAsiaTheme="minorEastAsia" w:hAnsi="Times New Roman"/>
      <w:sz w:val="24"/>
      <w:szCs w:val="24"/>
      <w:lang w:eastAsia="cs-CZ"/>
    </w:rPr>
  </w:style>
  <w:style w:type="paragraph" w:styleId="ListParagraph">
    <w:name w:val="List Paragraph"/>
    <w:basedOn w:val="Normal"/>
    <w:uiPriority w:val="34"/>
    <w:qFormat/>
    <w:rsid w:val="008723FB"/>
    <w:pPr>
      <w:ind w:left="720"/>
      <w:contextualSpacing/>
    </w:pPr>
  </w:style>
  <w:style w:type="character" w:customStyle="1" w:styleId="Heading2Char">
    <w:name w:val="Heading 2 Char"/>
    <w:basedOn w:val="DefaultParagraphFont"/>
    <w:link w:val="Heading2"/>
    <w:uiPriority w:val="9"/>
    <w:semiHidden/>
    <w:rsid w:val="00715E71"/>
    <w:rPr>
      <w:rFonts w:asciiTheme="majorHAnsi" w:eastAsiaTheme="majorEastAsia" w:hAnsiTheme="majorHAnsi" w:cstheme="majorBidi"/>
      <w:color w:val="365F91" w:themeColor="accent1" w:themeShade="BF"/>
      <w:sz w:val="26"/>
      <w:szCs w:val="26"/>
      <w:lang w:val="cs-CZ"/>
    </w:rPr>
  </w:style>
  <w:style w:type="character" w:customStyle="1" w:styleId="spanstrong">
    <w:name w:val="span_strong"/>
    <w:basedOn w:val="DefaultParagraphFont"/>
    <w:rsid w:val="00715E71"/>
  </w:style>
  <w:style w:type="character" w:styleId="Hyperlink">
    <w:name w:val="Hyperlink"/>
    <w:basedOn w:val="DefaultParagraphFont"/>
    <w:uiPriority w:val="99"/>
    <w:semiHidden/>
    <w:unhideWhenUsed/>
    <w:rsid w:val="00A1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7442">
      <w:bodyDiv w:val="1"/>
      <w:marLeft w:val="0"/>
      <w:marRight w:val="0"/>
      <w:marTop w:val="0"/>
      <w:marBottom w:val="0"/>
      <w:divBdr>
        <w:top w:val="none" w:sz="0" w:space="0" w:color="auto"/>
        <w:left w:val="none" w:sz="0" w:space="0" w:color="auto"/>
        <w:bottom w:val="none" w:sz="0" w:space="0" w:color="auto"/>
        <w:right w:val="none" w:sz="0" w:space="0" w:color="auto"/>
      </w:divBdr>
    </w:div>
    <w:div w:id="1340498282">
      <w:bodyDiv w:val="1"/>
      <w:marLeft w:val="0"/>
      <w:marRight w:val="0"/>
      <w:marTop w:val="0"/>
      <w:marBottom w:val="0"/>
      <w:divBdr>
        <w:top w:val="none" w:sz="0" w:space="0" w:color="auto"/>
        <w:left w:val="none" w:sz="0" w:space="0" w:color="auto"/>
        <w:bottom w:val="none" w:sz="0" w:space="0" w:color="auto"/>
        <w:right w:val="none" w:sz="0" w:space="0" w:color="auto"/>
      </w:divBdr>
    </w:div>
    <w:div w:id="1414939109">
      <w:bodyDiv w:val="1"/>
      <w:marLeft w:val="0"/>
      <w:marRight w:val="0"/>
      <w:marTop w:val="0"/>
      <w:marBottom w:val="0"/>
      <w:divBdr>
        <w:top w:val="none" w:sz="0" w:space="0" w:color="auto"/>
        <w:left w:val="none" w:sz="0" w:space="0" w:color="auto"/>
        <w:bottom w:val="none" w:sz="0" w:space="0" w:color="auto"/>
        <w:right w:val="none" w:sz="0" w:space="0" w:color="auto"/>
      </w:divBdr>
      <w:divsChild>
        <w:div w:id="685249443">
          <w:marLeft w:val="0"/>
          <w:marRight w:val="0"/>
          <w:marTop w:val="0"/>
          <w:marBottom w:val="0"/>
          <w:divBdr>
            <w:top w:val="none" w:sz="0" w:space="0" w:color="auto"/>
            <w:left w:val="none" w:sz="0" w:space="0" w:color="auto"/>
            <w:bottom w:val="none" w:sz="0" w:space="0" w:color="auto"/>
            <w:right w:val="none" w:sz="0" w:space="0" w:color="auto"/>
          </w:divBdr>
        </w:div>
      </w:divsChild>
    </w:div>
    <w:div w:id="1513839965">
      <w:bodyDiv w:val="1"/>
      <w:marLeft w:val="0"/>
      <w:marRight w:val="0"/>
      <w:marTop w:val="0"/>
      <w:marBottom w:val="0"/>
      <w:divBdr>
        <w:top w:val="none" w:sz="0" w:space="0" w:color="auto"/>
        <w:left w:val="none" w:sz="0" w:space="0" w:color="auto"/>
        <w:bottom w:val="none" w:sz="0" w:space="0" w:color="auto"/>
        <w:right w:val="none" w:sz="0" w:space="0" w:color="auto"/>
      </w:divBdr>
    </w:div>
    <w:div w:id="1694723277">
      <w:bodyDiv w:val="1"/>
      <w:marLeft w:val="0"/>
      <w:marRight w:val="0"/>
      <w:marTop w:val="0"/>
      <w:marBottom w:val="0"/>
      <w:divBdr>
        <w:top w:val="none" w:sz="0" w:space="0" w:color="auto"/>
        <w:left w:val="none" w:sz="0" w:space="0" w:color="auto"/>
        <w:bottom w:val="none" w:sz="0" w:space="0" w:color="auto"/>
        <w:right w:val="none" w:sz="0" w:space="0" w:color="auto"/>
      </w:divBdr>
    </w:div>
    <w:div w:id="1697385287">
      <w:bodyDiv w:val="1"/>
      <w:marLeft w:val="0"/>
      <w:marRight w:val="0"/>
      <w:marTop w:val="0"/>
      <w:marBottom w:val="0"/>
      <w:divBdr>
        <w:top w:val="none" w:sz="0" w:space="0" w:color="auto"/>
        <w:left w:val="none" w:sz="0" w:space="0" w:color="auto"/>
        <w:bottom w:val="none" w:sz="0" w:space="0" w:color="auto"/>
        <w:right w:val="none" w:sz="0" w:space="0" w:color="auto"/>
      </w:divBdr>
    </w:div>
    <w:div w:id="1814710395">
      <w:bodyDiv w:val="1"/>
      <w:marLeft w:val="0"/>
      <w:marRight w:val="0"/>
      <w:marTop w:val="0"/>
      <w:marBottom w:val="0"/>
      <w:divBdr>
        <w:top w:val="none" w:sz="0" w:space="0" w:color="auto"/>
        <w:left w:val="none" w:sz="0" w:space="0" w:color="auto"/>
        <w:bottom w:val="none" w:sz="0" w:space="0" w:color="auto"/>
        <w:right w:val="none" w:sz="0" w:space="0" w:color="auto"/>
      </w:divBdr>
      <w:divsChild>
        <w:div w:id="526602267">
          <w:marLeft w:val="0"/>
          <w:marRight w:val="0"/>
          <w:marTop w:val="0"/>
          <w:marBottom w:val="0"/>
          <w:divBdr>
            <w:top w:val="none" w:sz="0" w:space="0" w:color="auto"/>
            <w:left w:val="none" w:sz="0" w:space="0" w:color="auto"/>
            <w:bottom w:val="none" w:sz="0" w:space="0" w:color="auto"/>
            <w:right w:val="none" w:sz="0" w:space="0" w:color="auto"/>
          </w:divBdr>
        </w:div>
        <w:div w:id="749039682">
          <w:marLeft w:val="0"/>
          <w:marRight w:val="0"/>
          <w:marTop w:val="0"/>
          <w:marBottom w:val="0"/>
          <w:divBdr>
            <w:top w:val="none" w:sz="0" w:space="0" w:color="auto"/>
            <w:left w:val="none" w:sz="0" w:space="0" w:color="auto"/>
            <w:bottom w:val="none" w:sz="0" w:space="0" w:color="auto"/>
            <w:right w:val="none" w:sz="0" w:space="0" w:color="auto"/>
          </w:divBdr>
        </w:div>
        <w:div w:id="907375597">
          <w:marLeft w:val="0"/>
          <w:marRight w:val="0"/>
          <w:marTop w:val="0"/>
          <w:marBottom w:val="0"/>
          <w:divBdr>
            <w:top w:val="none" w:sz="0" w:space="0" w:color="auto"/>
            <w:left w:val="none" w:sz="0" w:space="0" w:color="auto"/>
            <w:bottom w:val="none" w:sz="0" w:space="0" w:color="auto"/>
            <w:right w:val="none" w:sz="0" w:space="0" w:color="auto"/>
          </w:divBdr>
        </w:div>
        <w:div w:id="55203550">
          <w:marLeft w:val="0"/>
          <w:marRight w:val="0"/>
          <w:marTop w:val="0"/>
          <w:marBottom w:val="0"/>
          <w:divBdr>
            <w:top w:val="none" w:sz="0" w:space="0" w:color="auto"/>
            <w:left w:val="none" w:sz="0" w:space="0" w:color="auto"/>
            <w:bottom w:val="none" w:sz="0" w:space="0" w:color="auto"/>
            <w:right w:val="none" w:sz="0" w:space="0" w:color="auto"/>
          </w:divBdr>
        </w:div>
        <w:div w:id="778794529">
          <w:marLeft w:val="0"/>
          <w:marRight w:val="0"/>
          <w:marTop w:val="0"/>
          <w:marBottom w:val="0"/>
          <w:divBdr>
            <w:top w:val="none" w:sz="0" w:space="0" w:color="auto"/>
            <w:left w:val="none" w:sz="0" w:space="0" w:color="auto"/>
            <w:bottom w:val="none" w:sz="0" w:space="0" w:color="auto"/>
            <w:right w:val="none" w:sz="0" w:space="0" w:color="auto"/>
          </w:divBdr>
        </w:div>
        <w:div w:id="1987974830">
          <w:marLeft w:val="0"/>
          <w:marRight w:val="0"/>
          <w:marTop w:val="0"/>
          <w:marBottom w:val="0"/>
          <w:divBdr>
            <w:top w:val="none" w:sz="0" w:space="0" w:color="auto"/>
            <w:left w:val="none" w:sz="0" w:space="0" w:color="auto"/>
            <w:bottom w:val="none" w:sz="0" w:space="0" w:color="auto"/>
            <w:right w:val="none" w:sz="0" w:space="0" w:color="auto"/>
          </w:divBdr>
        </w:div>
        <w:div w:id="293371724">
          <w:marLeft w:val="0"/>
          <w:marRight w:val="0"/>
          <w:marTop w:val="0"/>
          <w:marBottom w:val="0"/>
          <w:divBdr>
            <w:top w:val="none" w:sz="0" w:space="0" w:color="auto"/>
            <w:left w:val="none" w:sz="0" w:space="0" w:color="auto"/>
            <w:bottom w:val="none" w:sz="0" w:space="0" w:color="auto"/>
            <w:right w:val="none" w:sz="0" w:space="0" w:color="auto"/>
          </w:divBdr>
        </w:div>
        <w:div w:id="1061558989">
          <w:marLeft w:val="0"/>
          <w:marRight w:val="0"/>
          <w:marTop w:val="0"/>
          <w:marBottom w:val="0"/>
          <w:divBdr>
            <w:top w:val="none" w:sz="0" w:space="0" w:color="auto"/>
            <w:left w:val="none" w:sz="0" w:space="0" w:color="auto"/>
            <w:bottom w:val="none" w:sz="0" w:space="0" w:color="auto"/>
            <w:right w:val="none" w:sz="0" w:space="0" w:color="auto"/>
          </w:divBdr>
        </w:div>
        <w:div w:id="1284464421">
          <w:marLeft w:val="0"/>
          <w:marRight w:val="0"/>
          <w:marTop w:val="0"/>
          <w:marBottom w:val="0"/>
          <w:divBdr>
            <w:top w:val="none" w:sz="0" w:space="0" w:color="auto"/>
            <w:left w:val="none" w:sz="0" w:space="0" w:color="auto"/>
            <w:bottom w:val="none" w:sz="0" w:space="0" w:color="auto"/>
            <w:right w:val="none" w:sz="0" w:space="0" w:color="auto"/>
          </w:divBdr>
        </w:div>
        <w:div w:id="924143924">
          <w:marLeft w:val="0"/>
          <w:marRight w:val="0"/>
          <w:marTop w:val="0"/>
          <w:marBottom w:val="0"/>
          <w:divBdr>
            <w:top w:val="none" w:sz="0" w:space="0" w:color="auto"/>
            <w:left w:val="none" w:sz="0" w:space="0" w:color="auto"/>
            <w:bottom w:val="none" w:sz="0" w:space="0" w:color="auto"/>
            <w:right w:val="none" w:sz="0" w:space="0" w:color="auto"/>
          </w:divBdr>
        </w:div>
        <w:div w:id="1733695424">
          <w:marLeft w:val="0"/>
          <w:marRight w:val="0"/>
          <w:marTop w:val="0"/>
          <w:marBottom w:val="0"/>
          <w:divBdr>
            <w:top w:val="none" w:sz="0" w:space="0" w:color="auto"/>
            <w:left w:val="none" w:sz="0" w:space="0" w:color="auto"/>
            <w:bottom w:val="none" w:sz="0" w:space="0" w:color="auto"/>
            <w:right w:val="none" w:sz="0" w:space="0" w:color="auto"/>
          </w:divBdr>
        </w:div>
        <w:div w:id="666174144">
          <w:marLeft w:val="0"/>
          <w:marRight w:val="0"/>
          <w:marTop w:val="0"/>
          <w:marBottom w:val="0"/>
          <w:divBdr>
            <w:top w:val="none" w:sz="0" w:space="0" w:color="auto"/>
            <w:left w:val="none" w:sz="0" w:space="0" w:color="auto"/>
            <w:bottom w:val="none" w:sz="0" w:space="0" w:color="auto"/>
            <w:right w:val="none" w:sz="0" w:space="0" w:color="auto"/>
          </w:divBdr>
        </w:div>
        <w:div w:id="421024980">
          <w:marLeft w:val="0"/>
          <w:marRight w:val="0"/>
          <w:marTop w:val="0"/>
          <w:marBottom w:val="0"/>
          <w:divBdr>
            <w:top w:val="none" w:sz="0" w:space="0" w:color="auto"/>
            <w:left w:val="none" w:sz="0" w:space="0" w:color="auto"/>
            <w:bottom w:val="none" w:sz="0" w:space="0" w:color="auto"/>
            <w:right w:val="none" w:sz="0" w:space="0" w:color="auto"/>
          </w:divBdr>
        </w:div>
        <w:div w:id="1810898767">
          <w:marLeft w:val="0"/>
          <w:marRight w:val="0"/>
          <w:marTop w:val="0"/>
          <w:marBottom w:val="0"/>
          <w:divBdr>
            <w:top w:val="none" w:sz="0" w:space="0" w:color="auto"/>
            <w:left w:val="none" w:sz="0" w:space="0" w:color="auto"/>
            <w:bottom w:val="none" w:sz="0" w:space="0" w:color="auto"/>
            <w:right w:val="none" w:sz="0" w:space="0" w:color="auto"/>
          </w:divBdr>
        </w:div>
        <w:div w:id="826751999">
          <w:marLeft w:val="0"/>
          <w:marRight w:val="0"/>
          <w:marTop w:val="0"/>
          <w:marBottom w:val="0"/>
          <w:divBdr>
            <w:top w:val="none" w:sz="0" w:space="0" w:color="auto"/>
            <w:left w:val="none" w:sz="0" w:space="0" w:color="auto"/>
            <w:bottom w:val="none" w:sz="0" w:space="0" w:color="auto"/>
            <w:right w:val="none" w:sz="0" w:space="0" w:color="auto"/>
          </w:divBdr>
        </w:div>
        <w:div w:id="992759252">
          <w:marLeft w:val="0"/>
          <w:marRight w:val="0"/>
          <w:marTop w:val="0"/>
          <w:marBottom w:val="0"/>
          <w:divBdr>
            <w:top w:val="none" w:sz="0" w:space="0" w:color="auto"/>
            <w:left w:val="none" w:sz="0" w:space="0" w:color="auto"/>
            <w:bottom w:val="none" w:sz="0" w:space="0" w:color="auto"/>
            <w:right w:val="none" w:sz="0" w:space="0" w:color="auto"/>
          </w:divBdr>
        </w:div>
      </w:divsChild>
    </w:div>
    <w:div w:id="1895268052">
      <w:bodyDiv w:val="1"/>
      <w:marLeft w:val="0"/>
      <w:marRight w:val="0"/>
      <w:marTop w:val="0"/>
      <w:marBottom w:val="0"/>
      <w:divBdr>
        <w:top w:val="none" w:sz="0" w:space="0" w:color="auto"/>
        <w:left w:val="none" w:sz="0" w:space="0" w:color="auto"/>
        <w:bottom w:val="none" w:sz="0" w:space="0" w:color="auto"/>
        <w:right w:val="none" w:sz="0" w:space="0" w:color="auto"/>
      </w:divBdr>
    </w:div>
    <w:div w:id="1927299578">
      <w:bodyDiv w:val="1"/>
      <w:marLeft w:val="0"/>
      <w:marRight w:val="0"/>
      <w:marTop w:val="0"/>
      <w:marBottom w:val="0"/>
      <w:divBdr>
        <w:top w:val="none" w:sz="0" w:space="0" w:color="auto"/>
        <w:left w:val="none" w:sz="0" w:space="0" w:color="auto"/>
        <w:bottom w:val="none" w:sz="0" w:space="0" w:color="auto"/>
        <w:right w:val="none" w:sz="0" w:space="0" w:color="auto"/>
      </w:divBdr>
      <w:divsChild>
        <w:div w:id="37363240">
          <w:marLeft w:val="0"/>
          <w:marRight w:val="0"/>
          <w:marTop w:val="0"/>
          <w:marBottom w:val="0"/>
          <w:divBdr>
            <w:top w:val="none" w:sz="0" w:space="0" w:color="auto"/>
            <w:left w:val="none" w:sz="0" w:space="0" w:color="auto"/>
            <w:bottom w:val="none" w:sz="0" w:space="0" w:color="auto"/>
            <w:right w:val="none" w:sz="0" w:space="0" w:color="auto"/>
          </w:divBdr>
        </w:div>
      </w:divsChild>
    </w:div>
    <w:div w:id="1945457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revenue-and-customs-brief-9-2014-bitcoin-and-other-cryptocurrencies/revenue-and-customs-brief-9-2014-bitcoin-and-other-cryptocurren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chambers.com/wp-content/uploads/2016/12/Taxation-of-Virtual-Currenci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emieroffshore.com/low-cost-offshore-bitcoin-license/" TargetMode="External"/><Relationship Id="rId4" Type="http://schemas.openxmlformats.org/officeDocument/2006/relationships/settings" Target="settings.xml"/><Relationship Id="rId9" Type="http://schemas.openxmlformats.org/officeDocument/2006/relationships/hyperlink" Target="http://www.ulsterbank.ie/businesscurrentaccou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1530-2B68-4995-8799-FBC921E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1327</Words>
  <Characters>7567</Characters>
  <Application>Microsoft Office Word</Application>
  <DocSecurity>0</DocSecurity>
  <Lines>63</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pc 110</cp:lastModifiedBy>
  <cp:revision>12</cp:revision>
  <cp:lastPrinted>2016-02-24T14:57:00Z</cp:lastPrinted>
  <dcterms:created xsi:type="dcterms:W3CDTF">2017-06-27T07:15:00Z</dcterms:created>
  <dcterms:modified xsi:type="dcterms:W3CDTF">2017-06-27T09:25:00Z</dcterms:modified>
</cp:coreProperties>
</file>